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936115">
        <w:rPr>
          <w:rFonts w:ascii="Calibri" w:hAnsi="Calibri"/>
          <w:sz w:val="34"/>
          <w:szCs w:val="34"/>
        </w:rPr>
        <w:t xml:space="preserve">Santa Fe Co. 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936115">
        <w:rPr>
          <w:rFonts w:ascii="Calibri" w:eastAsia="Times New Roman" w:hAnsi="Calibri"/>
          <w:sz w:val="22"/>
          <w:szCs w:val="22"/>
        </w:rPr>
        <w:t xml:space="preserve">.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Pr="00936115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936115" w:rsidRDefault="00936115" w:rsidP="0093611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*Going back as far as 2007.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36115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936115" w:rsidRPr="009F4D93" w:rsidRDefault="00936115" w:rsidP="0093611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*Some names do not appear next to a position that is listed, but it can be that the position is not currently filled. Also, the information is presented in alphabetical order of position name.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9361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36115" w:rsidRPr="003770A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3770A6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770A6">
        <w:rPr>
          <w:rFonts w:ascii="Calibri" w:eastAsia="Times New Roman" w:hAnsi="Calibri"/>
          <w:sz w:val="22"/>
          <w:szCs w:val="22"/>
        </w:rPr>
        <w:t>[0]</w:t>
      </w:r>
    </w:p>
    <w:p w:rsidR="003770A6" w:rsidRPr="00C8563A" w:rsidRDefault="003770A6" w:rsidP="003770A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*Campaign finance info not found in the sunshine portal page or through using the search bar.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3770A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3770A6">
        <w:rPr>
          <w:rFonts w:ascii="Calibri" w:eastAsia="Times New Roman" w:hAnsi="Calibri"/>
          <w:sz w:val="22"/>
          <w:szCs w:val="22"/>
        </w:rPr>
        <w:t>[0]</w:t>
      </w:r>
    </w:p>
    <w:p w:rsidR="003770A6" w:rsidRPr="00AD02E2" w:rsidRDefault="003770A6" w:rsidP="003770A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mention of an individual’s right to speak at a meeting.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3770A6" w:rsidRPr="003770A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18371B" w:rsidRPr="003770A6" w:rsidRDefault="00BE7D4C" w:rsidP="003770A6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3770A6" w:rsidRPr="003770A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770A6" w:rsidRPr="003770A6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770A6" w:rsidRPr="003770A6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3770A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3770A6">
        <w:rPr>
          <w:rFonts w:ascii="Calibri" w:eastAsia="Times New Roman" w:hAnsi="Calibri"/>
          <w:sz w:val="22"/>
          <w:szCs w:val="22"/>
        </w:rPr>
        <w:t>[0]</w:t>
      </w:r>
    </w:p>
    <w:p w:rsidR="003770A6" w:rsidRDefault="003770A6" w:rsidP="003770A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last minutes posted for the Board of Commissioners is dated October, 2014 even though there have been 3 meetings since then.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3770A6" w:rsidRPr="003770A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3770A6" w:rsidRPr="003770A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3770A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3770A6">
        <w:rPr>
          <w:rFonts w:ascii="Calibri" w:eastAsia="Times New Roman" w:hAnsi="Calibri"/>
          <w:sz w:val="22"/>
          <w:szCs w:val="22"/>
        </w:rPr>
        <w:t>[0]</w:t>
      </w:r>
    </w:p>
    <w:p w:rsidR="003770A6" w:rsidRPr="003770A6" w:rsidRDefault="003770A6" w:rsidP="003770A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D07550">
        <w:rPr>
          <w:rFonts w:ascii="Calibri" w:eastAsia="Times New Roman" w:hAnsi="Calibri"/>
          <w:sz w:val="22"/>
          <w:szCs w:val="22"/>
        </w:rPr>
        <w:t xml:space="preserve">The OMA resolution on file is for 2014. </w:t>
      </w:r>
    </w:p>
    <w:p w:rsidR="003770A6" w:rsidRDefault="003770A6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D07550" w:rsidRPr="00D0755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B81A2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D07550" w:rsidRPr="00B81A27">
        <w:rPr>
          <w:rFonts w:ascii="Calibri" w:eastAsia="Times New Roman" w:hAnsi="Calibri"/>
          <w:sz w:val="22"/>
          <w:szCs w:val="22"/>
          <w:highlight w:val="yellow"/>
        </w:rPr>
        <w:t>[</w:t>
      </w:r>
      <w:r w:rsidR="00B81A27" w:rsidRPr="00B81A27">
        <w:rPr>
          <w:rFonts w:ascii="Calibri" w:eastAsia="Times New Roman" w:hAnsi="Calibri"/>
          <w:sz w:val="22"/>
          <w:szCs w:val="22"/>
          <w:highlight w:val="yellow"/>
        </w:rPr>
        <w:t>1</w:t>
      </w:r>
      <w:r w:rsidR="00D07550" w:rsidRPr="00B81A27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07550" w:rsidRPr="00D0755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D07550" w:rsidRPr="00D0755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07550" w:rsidRPr="00D0755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Default="00D07550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only cited, but there is a link to the county ordinance for fees and a statement of rights.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07550" w:rsidRPr="00D0755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D0755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07550">
        <w:rPr>
          <w:rFonts w:ascii="Calibri" w:eastAsia="Times New Roman" w:hAnsi="Calibri"/>
          <w:sz w:val="22"/>
          <w:szCs w:val="22"/>
        </w:rPr>
        <w:t>[0]</w:t>
      </w:r>
    </w:p>
    <w:p w:rsidR="00D07550" w:rsidRPr="004F33B1" w:rsidRDefault="00D07550" w:rsidP="00D0755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suggestions on how to minimize fees are provided. </w:t>
      </w:r>
    </w:p>
    <w:p w:rsidR="00D07550" w:rsidRPr="00D07550" w:rsidRDefault="00BE7D4C" w:rsidP="00D07550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9508AE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508A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9508AE" w:rsidRPr="009508AE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B81A27" w:rsidRPr="00B81A2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9508AE">
        <w:rPr>
          <w:rFonts w:ascii="Calibri" w:eastAsia="Times New Roman" w:hAnsi="Calibri"/>
          <w:sz w:val="22"/>
          <w:szCs w:val="22"/>
        </w:rPr>
        <w:t xml:space="preserve">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9508AE" w:rsidRPr="009508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9508AE">
        <w:rPr>
          <w:rFonts w:ascii="Calibri" w:hAnsi="Calibri"/>
          <w:sz w:val="22"/>
          <w:szCs w:val="22"/>
        </w:rPr>
        <w:t xml:space="preserve">*The majority of information in this section can be found through the Tax FAQ that is found on the website.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</w:t>
      </w:r>
      <w:r w:rsidR="008C3990">
        <w:rPr>
          <w:rFonts w:ascii="Arial" w:hAnsi="Arial" w:cs="Arial"/>
          <w:b/>
          <w:sz w:val="36"/>
          <w:szCs w:val="36"/>
        </w:rPr>
        <w:t>83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9508AE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Comments: </w:t>
      </w:r>
      <w:r w:rsidR="009508AE">
        <w:rPr>
          <w:rFonts w:ascii="Arial" w:hAnsi="Arial" w:cs="Arial"/>
          <w:sz w:val="28"/>
          <w:szCs w:val="28"/>
        </w:rPr>
        <w:t xml:space="preserve">Well-designed website. The only issue I encountered in the website is that the links on the bottom of the website are all dead. I’m not sure if they are just supposed to be a directory of what is available in certain sections of the website that are found through the drop-down menu or if they are links that have not been hyperlinked correctly. </w:t>
      </w:r>
    </w:p>
    <w:sectPr w:rsidR="00DB14E4" w:rsidRPr="009508AE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3770A6"/>
    <w:rsid w:val="003978DD"/>
    <w:rsid w:val="004F33B1"/>
    <w:rsid w:val="00853C24"/>
    <w:rsid w:val="008C3990"/>
    <w:rsid w:val="008D5E42"/>
    <w:rsid w:val="00936115"/>
    <w:rsid w:val="009508AE"/>
    <w:rsid w:val="009F4D93"/>
    <w:rsid w:val="00A7652E"/>
    <w:rsid w:val="00AB3DF4"/>
    <w:rsid w:val="00AD02E2"/>
    <w:rsid w:val="00B81A27"/>
    <w:rsid w:val="00BE7D4C"/>
    <w:rsid w:val="00C66D7C"/>
    <w:rsid w:val="00C8563A"/>
    <w:rsid w:val="00D07550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2015-01-26T00:08:00Z</dcterms:created>
  <dcterms:modified xsi:type="dcterms:W3CDTF">2015-08-08T23:03:00Z</dcterms:modified>
</cp:coreProperties>
</file>