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4E4" w:rsidRPr="00DB14E4" w:rsidRDefault="00BE7D4C">
      <w:pPr>
        <w:pStyle w:val="NormalWeb"/>
        <w:spacing w:before="0" w:beforeAutospacing="0" w:after="0" w:afterAutospacing="0"/>
        <w:rPr>
          <w:rFonts w:ascii="Calibri" w:hAnsi="Calibri"/>
          <w:sz w:val="34"/>
          <w:szCs w:val="34"/>
          <w:u w:val="single"/>
        </w:rPr>
      </w:pPr>
      <w:r w:rsidRPr="00DB14E4">
        <w:rPr>
          <w:rFonts w:ascii="Calibri" w:hAnsi="Calibri"/>
          <w:sz w:val="34"/>
          <w:szCs w:val="34"/>
          <w:u w:val="single"/>
        </w:rPr>
        <w:t>Website Audit</w:t>
      </w:r>
    </w:p>
    <w:p w:rsidR="00AB3DF4" w:rsidRDefault="00DB14E4">
      <w:pPr>
        <w:pStyle w:val="NormalWeb"/>
        <w:spacing w:before="0" w:beforeAutospacing="0" w:after="0" w:afterAutospacing="0"/>
        <w:rPr>
          <w:rFonts w:ascii="Calibri" w:hAnsi="Calibri"/>
          <w:sz w:val="34"/>
          <w:szCs w:val="34"/>
        </w:rPr>
      </w:pPr>
      <w:r>
        <w:rPr>
          <w:rFonts w:ascii="Calibri" w:hAnsi="Calibri"/>
          <w:sz w:val="34"/>
          <w:szCs w:val="34"/>
        </w:rPr>
        <w:t>City/County: __________</w:t>
      </w:r>
      <w:r w:rsidR="00885498">
        <w:rPr>
          <w:rFonts w:ascii="Calibri" w:hAnsi="Calibri"/>
          <w:sz w:val="34"/>
          <w:szCs w:val="34"/>
        </w:rPr>
        <w:t>Santa Fe</w:t>
      </w:r>
      <w:r>
        <w:rPr>
          <w:rFonts w:ascii="Calibri" w:hAnsi="Calibri"/>
          <w:sz w:val="34"/>
          <w:szCs w:val="34"/>
        </w:rPr>
        <w:t>________________</w:t>
      </w:r>
    </w:p>
    <w:p w:rsidR="00AB3DF4" w:rsidRDefault="00BE7D4C">
      <w:pPr>
        <w:pStyle w:val="NormalWeb"/>
        <w:spacing w:before="0" w:beforeAutospacing="0" w:after="0" w:afterAutospacing="0"/>
      </w:pPr>
      <w:r>
        <w:t> </w:t>
      </w:r>
    </w:p>
    <w:p w:rsidR="00AB3DF4" w:rsidRPr="00DB14E4" w:rsidRDefault="00853C24">
      <w:pPr>
        <w:numPr>
          <w:ilvl w:val="1"/>
          <w:numId w:val="1"/>
        </w:numPr>
        <w:ind w:left="958"/>
        <w:textAlignment w:val="center"/>
        <w:rPr>
          <w:rFonts w:eastAsia="Times New Roman"/>
          <w:b/>
        </w:rPr>
      </w:pPr>
      <w:r>
        <w:rPr>
          <w:rFonts w:ascii="Calibri" w:eastAsia="Times New Roman" w:hAnsi="Calibri"/>
          <w:b/>
          <w:sz w:val="22"/>
          <w:szCs w:val="22"/>
        </w:rPr>
        <w:t>Financial (18</w:t>
      </w:r>
      <w:r w:rsidR="00BE7D4C" w:rsidRPr="00DB14E4">
        <w:rPr>
          <w:rFonts w:ascii="Calibri" w:eastAsia="Times New Roman" w:hAnsi="Calibri"/>
          <w:b/>
          <w:sz w:val="22"/>
          <w:szCs w:val="22"/>
        </w:rPr>
        <w:t>)</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Budget</w:t>
      </w:r>
    </w:p>
    <w:p w:rsidR="00AB3DF4" w:rsidRPr="00885498" w:rsidRDefault="00BE7D4C">
      <w:pPr>
        <w:numPr>
          <w:ilvl w:val="3"/>
          <w:numId w:val="1"/>
        </w:numPr>
        <w:ind w:left="2038"/>
        <w:textAlignment w:val="center"/>
        <w:rPr>
          <w:rFonts w:eastAsia="Times New Roman"/>
        </w:rPr>
      </w:pPr>
      <w:r>
        <w:rPr>
          <w:rFonts w:ascii="Calibri" w:eastAsia="Times New Roman" w:hAnsi="Calibri"/>
          <w:sz w:val="22"/>
          <w:szCs w:val="22"/>
        </w:rPr>
        <w:t>Overall and by department, agency, or board budgets. (3) for current year (2) for previous years</w:t>
      </w:r>
      <w:r w:rsidR="00885498">
        <w:rPr>
          <w:rFonts w:ascii="Calibri" w:eastAsia="Times New Roman" w:hAnsi="Calibri"/>
          <w:sz w:val="22"/>
          <w:szCs w:val="22"/>
        </w:rPr>
        <w:t xml:space="preserve"> </w:t>
      </w:r>
      <w:r w:rsidR="00885498">
        <w:rPr>
          <w:rFonts w:ascii="Calibri" w:eastAsia="Times New Roman" w:hAnsi="Calibri"/>
          <w:sz w:val="22"/>
          <w:szCs w:val="22"/>
          <w:highlight w:val="yellow"/>
        </w:rPr>
        <w:t>[5]</w:t>
      </w:r>
    </w:p>
    <w:p w:rsidR="00885498" w:rsidRPr="00A7652E" w:rsidRDefault="00885498" w:rsidP="00885498">
      <w:pPr>
        <w:ind w:left="2038"/>
        <w:textAlignment w:val="center"/>
        <w:rPr>
          <w:rFonts w:eastAsia="Times New Roman"/>
        </w:rPr>
      </w:pPr>
      <w:r>
        <w:rPr>
          <w:rFonts w:ascii="Calibri" w:eastAsia="Times New Roman" w:hAnsi="Calibri"/>
          <w:sz w:val="22"/>
          <w:szCs w:val="22"/>
        </w:rPr>
        <w:t xml:space="preserve">*No budget presented on their sunshine portal for the past years budgets. </w:t>
      </w:r>
    </w:p>
    <w:p w:rsidR="00A7652E" w:rsidRDefault="00A7652E">
      <w:pPr>
        <w:numPr>
          <w:ilvl w:val="3"/>
          <w:numId w:val="1"/>
        </w:numPr>
        <w:ind w:left="2038"/>
        <w:textAlignment w:val="center"/>
        <w:rPr>
          <w:rFonts w:eastAsia="Times New Roman"/>
        </w:rPr>
      </w:pPr>
      <w:r>
        <w:rPr>
          <w:rFonts w:ascii="Calibri" w:eastAsia="Times New Roman" w:hAnsi="Calibri"/>
          <w:sz w:val="22"/>
          <w:szCs w:val="22"/>
        </w:rPr>
        <w:t>Budget analysis report. (1)</w:t>
      </w:r>
      <w:r w:rsidR="00885498">
        <w:rPr>
          <w:rFonts w:ascii="Calibri" w:eastAsia="Times New Roman" w:hAnsi="Calibri"/>
          <w:sz w:val="22"/>
          <w:szCs w:val="22"/>
        </w:rPr>
        <w:t xml:space="preserve"> </w:t>
      </w:r>
      <w:r w:rsidR="00885498" w:rsidRPr="00885498">
        <w:rPr>
          <w:rFonts w:ascii="Calibri" w:eastAsia="Times New Roman" w:hAnsi="Calibri"/>
          <w:sz w:val="22"/>
          <w:szCs w:val="22"/>
          <w:highlight w:val="yellow"/>
        </w:rPr>
        <w:t>[1]</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Register</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Check register, for both written and electronic checks, by department, agency, or board, showing payments to individual vendors. (4)</w:t>
      </w:r>
      <w:r w:rsidR="00885498">
        <w:rPr>
          <w:rFonts w:ascii="Calibri" w:eastAsia="Times New Roman" w:hAnsi="Calibri"/>
          <w:sz w:val="22"/>
          <w:szCs w:val="22"/>
        </w:rPr>
        <w:t xml:space="preserve"> </w:t>
      </w:r>
      <w:r w:rsidR="00885498" w:rsidRPr="00885498">
        <w:rPr>
          <w:rFonts w:ascii="Calibri" w:eastAsia="Times New Roman" w:hAnsi="Calibri"/>
          <w:sz w:val="22"/>
          <w:szCs w:val="22"/>
          <w:highlight w:val="yellow"/>
        </w:rPr>
        <w:t>[4]</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Spending</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Interim financial reports by department, </w:t>
      </w:r>
      <w:r w:rsidR="005F5392">
        <w:rPr>
          <w:rFonts w:ascii="Calibri" w:eastAsia="Times New Roman" w:hAnsi="Calibri"/>
          <w:sz w:val="22"/>
          <w:szCs w:val="22"/>
        </w:rPr>
        <w:t>agency,</w:t>
      </w:r>
      <w:r>
        <w:rPr>
          <w:rFonts w:ascii="Calibri" w:eastAsia="Times New Roman" w:hAnsi="Calibri"/>
          <w:sz w:val="22"/>
          <w:szCs w:val="22"/>
        </w:rPr>
        <w:t xml:space="preserve"> or board through the most recent month or quarter.  (3)</w:t>
      </w:r>
      <w:r w:rsidR="00885498">
        <w:rPr>
          <w:rFonts w:ascii="Calibri" w:eastAsia="Times New Roman" w:hAnsi="Calibri"/>
          <w:sz w:val="22"/>
          <w:szCs w:val="22"/>
        </w:rPr>
        <w:t xml:space="preserve"> </w:t>
      </w:r>
      <w:r w:rsidR="00563272">
        <w:rPr>
          <w:rFonts w:ascii="Calibri" w:eastAsia="Times New Roman" w:hAnsi="Calibri"/>
          <w:sz w:val="22"/>
          <w:szCs w:val="22"/>
        </w:rPr>
        <w:t>[0]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Audits</w:t>
      </w:r>
    </w:p>
    <w:p w:rsidR="00AB3DF4" w:rsidRPr="00A7652E" w:rsidRDefault="00BE7D4C">
      <w:pPr>
        <w:numPr>
          <w:ilvl w:val="3"/>
          <w:numId w:val="1"/>
        </w:numPr>
        <w:ind w:left="2038"/>
        <w:textAlignment w:val="center"/>
        <w:rPr>
          <w:rFonts w:eastAsia="Times New Roman"/>
        </w:rPr>
      </w:pPr>
      <w:r>
        <w:rPr>
          <w:rFonts w:ascii="Calibri" w:eastAsia="Times New Roman" w:hAnsi="Calibri"/>
          <w:sz w:val="22"/>
          <w:szCs w:val="22"/>
        </w:rPr>
        <w:t>Copies of or links to financial and operational audits, both internal and external, performed for the current year. (3)</w:t>
      </w:r>
      <w:r w:rsidR="00563272">
        <w:rPr>
          <w:rFonts w:ascii="Calibri" w:eastAsia="Times New Roman" w:hAnsi="Calibri"/>
          <w:sz w:val="22"/>
          <w:szCs w:val="22"/>
        </w:rPr>
        <w:t xml:space="preserve"> [0]</w:t>
      </w:r>
    </w:p>
    <w:p w:rsidR="00A7652E" w:rsidRPr="00563272" w:rsidRDefault="00A7652E">
      <w:pPr>
        <w:numPr>
          <w:ilvl w:val="3"/>
          <w:numId w:val="1"/>
        </w:numPr>
        <w:ind w:left="2038"/>
        <w:textAlignment w:val="center"/>
        <w:rPr>
          <w:rFonts w:eastAsia="Times New Roman"/>
        </w:rPr>
      </w:pPr>
      <w:r>
        <w:rPr>
          <w:rFonts w:ascii="Calibri" w:eastAsia="Times New Roman" w:hAnsi="Calibri"/>
          <w:sz w:val="22"/>
          <w:szCs w:val="22"/>
        </w:rPr>
        <w:t xml:space="preserve">For the past 3 </w:t>
      </w:r>
      <w:r w:rsidR="005F5392">
        <w:rPr>
          <w:rFonts w:ascii="Calibri" w:eastAsia="Times New Roman" w:hAnsi="Calibri"/>
          <w:sz w:val="22"/>
          <w:szCs w:val="22"/>
        </w:rPr>
        <w:t xml:space="preserve">years. </w:t>
      </w:r>
      <w:r>
        <w:rPr>
          <w:rFonts w:ascii="Calibri" w:eastAsia="Times New Roman" w:hAnsi="Calibri"/>
          <w:sz w:val="22"/>
          <w:szCs w:val="22"/>
        </w:rPr>
        <w:t xml:space="preserve">(1) </w:t>
      </w:r>
      <w:r w:rsidR="00563272">
        <w:rPr>
          <w:rFonts w:ascii="Calibri" w:eastAsia="Times New Roman" w:hAnsi="Calibri"/>
          <w:sz w:val="22"/>
          <w:szCs w:val="22"/>
        </w:rPr>
        <w:t>[0]</w:t>
      </w:r>
    </w:p>
    <w:p w:rsidR="00563272" w:rsidRDefault="00563272" w:rsidP="00563272">
      <w:pPr>
        <w:ind w:left="2038"/>
        <w:textAlignment w:val="center"/>
        <w:rPr>
          <w:rFonts w:eastAsia="Times New Roman"/>
        </w:rPr>
      </w:pPr>
      <w:r>
        <w:rPr>
          <w:rFonts w:ascii="Calibri" w:eastAsia="Times New Roman" w:hAnsi="Calibri"/>
          <w:sz w:val="22"/>
          <w:szCs w:val="22"/>
        </w:rPr>
        <w:t xml:space="preserve">*No financial audits were found in the finance portion of the website or in the Internal Audit section. Additionally, no financial audits were found when utilizing the search feature.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Taxes</w:t>
      </w:r>
    </w:p>
    <w:p w:rsidR="00AB3DF4" w:rsidRDefault="00A7652E">
      <w:pPr>
        <w:numPr>
          <w:ilvl w:val="3"/>
          <w:numId w:val="1"/>
        </w:numPr>
        <w:ind w:left="2038"/>
        <w:textAlignment w:val="center"/>
        <w:rPr>
          <w:rFonts w:eastAsia="Times New Roman"/>
        </w:rPr>
      </w:pPr>
      <w:r>
        <w:rPr>
          <w:rFonts w:ascii="Calibri" w:eastAsia="Times New Roman" w:hAnsi="Calibri"/>
          <w:sz w:val="22"/>
          <w:szCs w:val="22"/>
        </w:rPr>
        <w:t>Property and other tax rates. (</w:t>
      </w:r>
      <w:r w:rsidR="00853C24">
        <w:rPr>
          <w:rFonts w:ascii="Calibri" w:eastAsia="Times New Roman" w:hAnsi="Calibri"/>
          <w:sz w:val="22"/>
          <w:szCs w:val="22"/>
        </w:rPr>
        <w:t>1</w:t>
      </w:r>
      <w:r w:rsidR="00BE7D4C">
        <w:rPr>
          <w:rFonts w:ascii="Calibri" w:eastAsia="Times New Roman" w:hAnsi="Calibri"/>
          <w:sz w:val="22"/>
          <w:szCs w:val="22"/>
        </w:rPr>
        <w:t xml:space="preserve">) </w:t>
      </w:r>
      <w:r w:rsidR="00563272" w:rsidRPr="00563272">
        <w:rPr>
          <w:rFonts w:ascii="Calibri" w:eastAsia="Times New Roman" w:hAnsi="Calibri"/>
          <w:sz w:val="22"/>
          <w:szCs w:val="22"/>
          <w:highlight w:val="yellow"/>
        </w:rPr>
        <w:t>[1]</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Accountability Data (17)</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Employees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The name, position/title, and salary of every employee/official. (5)</w:t>
      </w:r>
      <w:r w:rsidR="00563272">
        <w:rPr>
          <w:rFonts w:ascii="Calibri" w:eastAsia="Times New Roman" w:hAnsi="Calibri"/>
          <w:sz w:val="22"/>
          <w:szCs w:val="22"/>
        </w:rPr>
        <w:t xml:space="preserve"> </w:t>
      </w:r>
      <w:r w:rsidR="00563272" w:rsidRPr="00563272">
        <w:rPr>
          <w:rFonts w:ascii="Calibri" w:eastAsia="Times New Roman" w:hAnsi="Calibri"/>
          <w:sz w:val="22"/>
          <w:szCs w:val="22"/>
          <w:highlight w:val="yellow"/>
        </w:rPr>
        <w:t>[5]</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Vendors</w:t>
      </w:r>
    </w:p>
    <w:p w:rsidR="00AB3DF4" w:rsidRPr="00A7652E" w:rsidRDefault="00BE7D4C">
      <w:pPr>
        <w:numPr>
          <w:ilvl w:val="3"/>
          <w:numId w:val="1"/>
        </w:numPr>
        <w:ind w:left="2038"/>
        <w:textAlignment w:val="center"/>
        <w:rPr>
          <w:rFonts w:eastAsia="Times New Roman"/>
        </w:rPr>
      </w:pPr>
      <w:r>
        <w:rPr>
          <w:rFonts w:ascii="Calibri" w:eastAsia="Times New Roman" w:hAnsi="Calibri"/>
          <w:sz w:val="22"/>
          <w:szCs w:val="22"/>
        </w:rPr>
        <w:t>A database of current vendors and their contracts, plus those for the current year (3)</w:t>
      </w:r>
      <w:r w:rsidR="00563272">
        <w:rPr>
          <w:rFonts w:ascii="Calibri" w:eastAsia="Times New Roman" w:hAnsi="Calibri"/>
          <w:sz w:val="22"/>
          <w:szCs w:val="22"/>
        </w:rPr>
        <w:t xml:space="preserve"> [0]</w:t>
      </w:r>
    </w:p>
    <w:p w:rsidR="00A7652E" w:rsidRPr="00563272" w:rsidRDefault="00A7652E">
      <w:pPr>
        <w:numPr>
          <w:ilvl w:val="3"/>
          <w:numId w:val="1"/>
        </w:numPr>
        <w:ind w:left="2038"/>
        <w:textAlignment w:val="center"/>
        <w:rPr>
          <w:rFonts w:eastAsia="Times New Roman"/>
        </w:rPr>
      </w:pPr>
      <w:r>
        <w:rPr>
          <w:rFonts w:ascii="Calibri" w:eastAsia="Times New Roman" w:hAnsi="Calibri"/>
          <w:sz w:val="22"/>
          <w:szCs w:val="22"/>
        </w:rPr>
        <w:t>For last 3 years. (1)</w:t>
      </w:r>
      <w:r w:rsidR="00563272">
        <w:rPr>
          <w:rFonts w:ascii="Calibri" w:eastAsia="Times New Roman" w:hAnsi="Calibri"/>
          <w:sz w:val="22"/>
          <w:szCs w:val="22"/>
        </w:rPr>
        <w:t xml:space="preserve">  [0]</w:t>
      </w:r>
    </w:p>
    <w:p w:rsidR="00563272" w:rsidRDefault="00563272" w:rsidP="00563272">
      <w:pPr>
        <w:ind w:left="2038"/>
        <w:textAlignment w:val="center"/>
        <w:rPr>
          <w:rFonts w:eastAsia="Times New Roman"/>
        </w:rPr>
      </w:pPr>
      <w:r>
        <w:rPr>
          <w:rFonts w:ascii="Calibri" w:eastAsia="Times New Roman" w:hAnsi="Calibri"/>
          <w:sz w:val="22"/>
          <w:szCs w:val="22"/>
        </w:rPr>
        <w:t xml:space="preserve">*No vender list was found in the bidding section, the list of contracts, or in using the search bar.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Contracts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Copies of current contracts. (2) </w:t>
      </w:r>
      <w:r w:rsidR="00563272">
        <w:rPr>
          <w:rFonts w:ascii="Calibri" w:eastAsia="Times New Roman" w:hAnsi="Calibri"/>
          <w:sz w:val="22"/>
          <w:szCs w:val="22"/>
        </w:rPr>
        <w:t>[0]</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Copies of contracts or the last 3 years (1) </w:t>
      </w:r>
      <w:r w:rsidR="00563272">
        <w:rPr>
          <w:rFonts w:ascii="Calibri" w:eastAsia="Times New Roman" w:hAnsi="Calibri"/>
          <w:sz w:val="22"/>
          <w:szCs w:val="22"/>
        </w:rPr>
        <w:t>[0]</w:t>
      </w:r>
    </w:p>
    <w:p w:rsidR="00AB3DF4" w:rsidRPr="005F5392" w:rsidRDefault="00BE7D4C">
      <w:pPr>
        <w:numPr>
          <w:ilvl w:val="3"/>
          <w:numId w:val="1"/>
        </w:numPr>
        <w:ind w:left="2038"/>
        <w:textAlignment w:val="center"/>
        <w:rPr>
          <w:rFonts w:eastAsia="Times New Roman"/>
        </w:rPr>
      </w:pPr>
      <w:r>
        <w:rPr>
          <w:rFonts w:ascii="Calibri" w:eastAsia="Times New Roman" w:hAnsi="Calibri"/>
          <w:sz w:val="22"/>
          <w:szCs w:val="22"/>
        </w:rPr>
        <w:t>Open contracts available for bid, plus bidding rules and requirements (2)</w:t>
      </w:r>
      <w:r w:rsidR="005F5392">
        <w:rPr>
          <w:rFonts w:ascii="Calibri" w:eastAsia="Times New Roman" w:hAnsi="Calibri"/>
          <w:sz w:val="22"/>
          <w:szCs w:val="22"/>
        </w:rPr>
        <w:t xml:space="preserve"> </w:t>
      </w:r>
      <w:r w:rsidR="005F5392" w:rsidRPr="005F5392">
        <w:rPr>
          <w:rFonts w:ascii="Calibri" w:eastAsia="Times New Roman" w:hAnsi="Calibri"/>
          <w:sz w:val="22"/>
          <w:szCs w:val="22"/>
          <w:highlight w:val="yellow"/>
        </w:rPr>
        <w:t>[2]</w:t>
      </w:r>
    </w:p>
    <w:p w:rsidR="005F5392" w:rsidRDefault="005F5392" w:rsidP="005F5392">
      <w:pPr>
        <w:ind w:left="2038"/>
        <w:textAlignment w:val="center"/>
        <w:rPr>
          <w:rFonts w:eastAsia="Times New Roman"/>
        </w:rPr>
      </w:pPr>
      <w:r>
        <w:rPr>
          <w:rFonts w:ascii="Calibri" w:eastAsia="Times New Roman" w:hAnsi="Calibri"/>
          <w:sz w:val="22"/>
          <w:szCs w:val="22"/>
        </w:rPr>
        <w:t xml:space="preserve">*The contracts section of the website is broken. No contracts are presented during the search, regardless of parameters.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Grants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Grants or subsidies for economic development (1)</w:t>
      </w:r>
      <w:r w:rsidR="005F5392">
        <w:rPr>
          <w:rFonts w:ascii="Calibri" w:eastAsia="Times New Roman" w:hAnsi="Calibri"/>
          <w:sz w:val="22"/>
          <w:szCs w:val="22"/>
        </w:rPr>
        <w:t xml:space="preserve"> </w:t>
      </w:r>
      <w:r w:rsidR="005F5392" w:rsidRPr="005F5392">
        <w:rPr>
          <w:rFonts w:ascii="Calibri" w:eastAsia="Times New Roman" w:hAnsi="Calibri"/>
          <w:sz w:val="22"/>
          <w:szCs w:val="22"/>
          <w:highlight w:val="yellow"/>
        </w:rPr>
        <w:t>[1]</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Campaign Finance Info</w:t>
      </w:r>
    </w:p>
    <w:p w:rsidR="00AB3DF4" w:rsidRPr="007B4B5D" w:rsidRDefault="00BE7D4C">
      <w:pPr>
        <w:numPr>
          <w:ilvl w:val="3"/>
          <w:numId w:val="1"/>
        </w:numPr>
        <w:ind w:left="2038"/>
        <w:textAlignment w:val="center"/>
        <w:rPr>
          <w:rFonts w:eastAsia="Times New Roman"/>
        </w:rPr>
      </w:pPr>
      <w:r>
        <w:rPr>
          <w:rFonts w:ascii="Calibri" w:eastAsia="Times New Roman" w:hAnsi="Calibri"/>
          <w:sz w:val="22"/>
          <w:szCs w:val="22"/>
        </w:rPr>
        <w:t>Any information about the current administrations campaign finance information (2)</w:t>
      </w:r>
      <w:r w:rsidR="005F5392">
        <w:rPr>
          <w:rFonts w:ascii="Calibri" w:eastAsia="Times New Roman" w:hAnsi="Calibri"/>
          <w:sz w:val="22"/>
          <w:szCs w:val="22"/>
        </w:rPr>
        <w:t xml:space="preserve"> </w:t>
      </w:r>
      <w:r w:rsidR="005F5392" w:rsidRPr="005F5392">
        <w:rPr>
          <w:rFonts w:ascii="Calibri" w:eastAsia="Times New Roman" w:hAnsi="Calibri"/>
          <w:sz w:val="22"/>
          <w:szCs w:val="22"/>
          <w:highlight w:val="yellow"/>
        </w:rPr>
        <w:t>[2]</w:t>
      </w:r>
    </w:p>
    <w:p w:rsidR="007B4B5D" w:rsidRDefault="007B4B5D" w:rsidP="007B4B5D">
      <w:pPr>
        <w:ind w:left="2038"/>
        <w:textAlignment w:val="center"/>
        <w:rPr>
          <w:rFonts w:eastAsia="Times New Roman"/>
        </w:rPr>
      </w:pPr>
      <w:r>
        <w:rPr>
          <w:rFonts w:ascii="Calibri" w:eastAsia="Times New Roman" w:hAnsi="Calibri"/>
          <w:sz w:val="22"/>
          <w:szCs w:val="22"/>
        </w:rPr>
        <w:t xml:space="preserve">*Found in a section called “archive center.” It does not present itself as an area where this information will be found. </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Public Meetings (23)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lastRenderedPageBreak/>
        <w:t>Rights</w:t>
      </w:r>
    </w:p>
    <w:p w:rsidR="00AB3DF4" w:rsidRPr="0046690A" w:rsidRDefault="00BE7D4C">
      <w:pPr>
        <w:numPr>
          <w:ilvl w:val="3"/>
          <w:numId w:val="1"/>
        </w:numPr>
        <w:ind w:left="2038"/>
        <w:textAlignment w:val="center"/>
        <w:rPr>
          <w:rFonts w:eastAsia="Times New Roman"/>
        </w:rPr>
      </w:pPr>
      <w:r>
        <w:rPr>
          <w:rFonts w:ascii="Calibri" w:eastAsia="Times New Roman" w:hAnsi="Calibri"/>
          <w:sz w:val="22"/>
          <w:szCs w:val="22"/>
        </w:rPr>
        <w:t>A clear statement of individual rights of access and to speak at public meetings, with links to state law and to any supplemental local provisions. (3)</w:t>
      </w:r>
      <w:r w:rsidR="0046690A">
        <w:rPr>
          <w:rFonts w:ascii="Calibri" w:eastAsia="Times New Roman" w:hAnsi="Calibri"/>
          <w:sz w:val="22"/>
          <w:szCs w:val="22"/>
        </w:rPr>
        <w:t xml:space="preserve"> [0]</w:t>
      </w:r>
    </w:p>
    <w:p w:rsidR="0046690A" w:rsidRDefault="0046690A" w:rsidP="0046690A">
      <w:pPr>
        <w:ind w:left="2038"/>
        <w:textAlignment w:val="center"/>
        <w:rPr>
          <w:rFonts w:eastAsia="Times New Roman"/>
        </w:rPr>
      </w:pPr>
      <w:r>
        <w:rPr>
          <w:rFonts w:ascii="Calibri" w:eastAsia="Times New Roman" w:hAnsi="Calibri"/>
          <w:sz w:val="22"/>
          <w:szCs w:val="22"/>
        </w:rPr>
        <w:t xml:space="preserve">*No statements of any rights is made in their transparency site or in the calendar. The sunshine portal gives tips on how to see meetings, but it does not state any helpful information on how once can be heard.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Notice</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Annual schedule of all regular meetings, with time and place, for all boards, commissions, and committees. (3) </w:t>
      </w:r>
      <w:r w:rsidR="0046690A" w:rsidRPr="0046690A">
        <w:rPr>
          <w:rFonts w:ascii="Calibri" w:eastAsia="Times New Roman" w:hAnsi="Calibri"/>
          <w:sz w:val="22"/>
          <w:szCs w:val="22"/>
          <w:highlight w:val="yellow"/>
        </w:rPr>
        <w:t>[3]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Videos</w:t>
      </w:r>
    </w:p>
    <w:p w:rsidR="00AB3DF4" w:rsidRPr="0046690A" w:rsidRDefault="00BE7D4C">
      <w:pPr>
        <w:numPr>
          <w:ilvl w:val="3"/>
          <w:numId w:val="1"/>
        </w:numPr>
        <w:ind w:left="2038"/>
        <w:textAlignment w:val="center"/>
        <w:rPr>
          <w:rFonts w:eastAsia="Times New Roman"/>
        </w:rPr>
      </w:pPr>
      <w:r>
        <w:rPr>
          <w:rFonts w:ascii="Calibri" w:eastAsia="Times New Roman" w:hAnsi="Calibri"/>
          <w:sz w:val="22"/>
          <w:szCs w:val="22"/>
        </w:rPr>
        <w:t xml:space="preserve">Videotapes of past meetings posted to an accessible area. (2) </w:t>
      </w:r>
      <w:r w:rsidR="0046690A" w:rsidRPr="0046690A">
        <w:rPr>
          <w:rFonts w:ascii="Calibri" w:eastAsia="Times New Roman" w:hAnsi="Calibri"/>
          <w:sz w:val="22"/>
          <w:szCs w:val="22"/>
          <w:highlight w:val="yellow"/>
        </w:rPr>
        <w:t>[2]</w:t>
      </w:r>
    </w:p>
    <w:p w:rsidR="0046690A" w:rsidRDefault="0046690A" w:rsidP="0046690A">
      <w:pPr>
        <w:ind w:left="2038"/>
        <w:textAlignment w:val="center"/>
        <w:rPr>
          <w:rFonts w:eastAsia="Times New Roman"/>
        </w:rPr>
      </w:pPr>
      <w:r>
        <w:rPr>
          <w:rFonts w:ascii="Calibri" w:eastAsia="Times New Roman" w:hAnsi="Calibri"/>
          <w:sz w:val="22"/>
          <w:szCs w:val="22"/>
        </w:rPr>
        <w:t xml:space="preserve">*Link is on front page but it is difficult to find.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Agendas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Advance posting of agendas for upcoming meetings (3)</w:t>
      </w:r>
      <w:r w:rsidR="0046690A">
        <w:rPr>
          <w:rFonts w:ascii="Calibri" w:eastAsia="Times New Roman" w:hAnsi="Calibri"/>
          <w:sz w:val="22"/>
          <w:szCs w:val="22"/>
        </w:rPr>
        <w:t xml:space="preserve"> </w:t>
      </w:r>
      <w:r w:rsidR="0046690A" w:rsidRPr="0046690A">
        <w:rPr>
          <w:rFonts w:ascii="Calibri" w:eastAsia="Times New Roman" w:hAnsi="Calibri"/>
          <w:sz w:val="22"/>
          <w:szCs w:val="22"/>
          <w:highlight w:val="yellow"/>
        </w:rPr>
        <w:t>[3]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Packet</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Citizen's copy of agenda materials given boards members. Would include texts of bills/resolutions/ordinances, and of supporting reports and memoranda. (4)</w:t>
      </w:r>
      <w:r w:rsidR="0046690A">
        <w:rPr>
          <w:rFonts w:ascii="Calibri" w:eastAsia="Times New Roman" w:hAnsi="Calibri"/>
          <w:sz w:val="22"/>
          <w:szCs w:val="22"/>
        </w:rPr>
        <w:t xml:space="preserve"> </w:t>
      </w:r>
      <w:r w:rsidR="0046690A" w:rsidRPr="0046690A">
        <w:rPr>
          <w:rFonts w:ascii="Calibri" w:eastAsia="Times New Roman" w:hAnsi="Calibri"/>
          <w:sz w:val="22"/>
          <w:szCs w:val="22"/>
          <w:highlight w:val="yellow"/>
        </w:rPr>
        <w:t>[4]</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Minutes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 Posted within 10 days of approval at </w:t>
      </w:r>
      <w:r w:rsidR="00A7652E">
        <w:rPr>
          <w:rFonts w:ascii="Calibri" w:eastAsia="Times New Roman" w:hAnsi="Calibri"/>
          <w:sz w:val="22"/>
          <w:szCs w:val="22"/>
        </w:rPr>
        <w:t xml:space="preserve">meeting. </w:t>
      </w:r>
      <w:r>
        <w:rPr>
          <w:rFonts w:ascii="Calibri" w:eastAsia="Times New Roman" w:hAnsi="Calibri"/>
          <w:sz w:val="22"/>
          <w:szCs w:val="22"/>
        </w:rPr>
        <w:t>(3)</w:t>
      </w:r>
      <w:r w:rsidR="0046690A">
        <w:rPr>
          <w:rFonts w:ascii="Calibri" w:eastAsia="Times New Roman" w:hAnsi="Calibri"/>
          <w:sz w:val="22"/>
          <w:szCs w:val="22"/>
        </w:rPr>
        <w:t xml:space="preserve"> </w:t>
      </w:r>
      <w:r w:rsidR="0046690A" w:rsidRPr="0046690A">
        <w:rPr>
          <w:rFonts w:ascii="Calibri" w:eastAsia="Times New Roman" w:hAnsi="Calibri"/>
          <w:sz w:val="22"/>
          <w:szCs w:val="22"/>
          <w:highlight w:val="yellow"/>
        </w:rPr>
        <w:t>[3]</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Minutes reflect votes of individual board members. (1) </w:t>
      </w:r>
      <w:r w:rsidR="0046690A" w:rsidRPr="0046690A">
        <w:rPr>
          <w:rFonts w:ascii="Calibri" w:eastAsia="Times New Roman" w:hAnsi="Calibri"/>
          <w:sz w:val="22"/>
          <w:szCs w:val="22"/>
          <w:highlight w:val="yellow"/>
        </w:rPr>
        <w:t>[1]</w:t>
      </w:r>
    </w:p>
    <w:p w:rsidR="0046690A" w:rsidRPr="0046690A" w:rsidRDefault="00BE7D4C" w:rsidP="0046690A">
      <w:pPr>
        <w:numPr>
          <w:ilvl w:val="3"/>
          <w:numId w:val="1"/>
        </w:numPr>
        <w:ind w:left="2038"/>
        <w:textAlignment w:val="center"/>
        <w:rPr>
          <w:rFonts w:eastAsia="Times New Roman"/>
        </w:rPr>
      </w:pPr>
      <w:r>
        <w:rPr>
          <w:rFonts w:ascii="Calibri" w:eastAsia="Times New Roman" w:hAnsi="Calibri"/>
          <w:sz w:val="22"/>
          <w:szCs w:val="22"/>
        </w:rPr>
        <w:t xml:space="preserve">Archived for the past 3 years (1) </w:t>
      </w:r>
      <w:r w:rsidR="0046690A">
        <w:rPr>
          <w:rFonts w:ascii="Calibri" w:eastAsia="Times New Roman" w:hAnsi="Calibri"/>
          <w:sz w:val="22"/>
          <w:szCs w:val="22"/>
        </w:rPr>
        <w:t>[</w:t>
      </w:r>
      <w:r w:rsidR="004A3A87" w:rsidRPr="004A3A87">
        <w:rPr>
          <w:rFonts w:ascii="Calibri" w:eastAsia="Times New Roman" w:hAnsi="Calibri"/>
          <w:sz w:val="22"/>
          <w:szCs w:val="22"/>
          <w:highlight w:val="yellow"/>
        </w:rPr>
        <w:t>1</w:t>
      </w:r>
      <w:r w:rsidR="0046690A">
        <w:rPr>
          <w:rFonts w:ascii="Calibri" w:eastAsia="Times New Roman" w:hAnsi="Calibri"/>
          <w:sz w:val="22"/>
          <w:szCs w:val="22"/>
        </w:rPr>
        <w:t>]</w:t>
      </w:r>
    </w:p>
    <w:p w:rsidR="0046690A" w:rsidRPr="0046690A" w:rsidRDefault="0046690A" w:rsidP="0046690A">
      <w:pPr>
        <w:ind w:left="2038"/>
        <w:textAlignment w:val="center"/>
        <w:rPr>
          <w:rFonts w:eastAsia="Times New Roman"/>
        </w:rPr>
      </w:pPr>
      <w:r>
        <w:rPr>
          <w:rFonts w:ascii="Calibri" w:eastAsia="Times New Roman" w:hAnsi="Calibri"/>
          <w:sz w:val="22"/>
          <w:szCs w:val="22"/>
        </w:rPr>
        <w:t>*</w:t>
      </w:r>
      <w:r w:rsidRPr="004A3A87">
        <w:rPr>
          <w:rFonts w:ascii="Calibri" w:eastAsia="Times New Roman" w:hAnsi="Calibri"/>
          <w:strike/>
          <w:sz w:val="22"/>
          <w:szCs w:val="22"/>
        </w:rPr>
        <w:t>Not labeled as minutes, but rather as packets. Only kept for the current calendar year</w:t>
      </w:r>
      <w:r>
        <w:rPr>
          <w:rFonts w:ascii="Calibri" w:eastAsia="Times New Roman" w:hAnsi="Calibri"/>
          <w:sz w:val="22"/>
          <w:szCs w:val="22"/>
        </w:rPr>
        <w:t xml:space="preserve">.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OMA Policy</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Resolution of OMA policy for current year. (3)</w:t>
      </w:r>
      <w:r w:rsidR="007B4B5D">
        <w:rPr>
          <w:rFonts w:ascii="Calibri" w:eastAsia="Times New Roman" w:hAnsi="Calibri"/>
          <w:sz w:val="22"/>
          <w:szCs w:val="22"/>
        </w:rPr>
        <w:t xml:space="preserve"> </w:t>
      </w:r>
      <w:r w:rsidR="007B4B5D" w:rsidRPr="007B4B5D">
        <w:rPr>
          <w:rFonts w:ascii="Calibri" w:eastAsia="Times New Roman" w:hAnsi="Calibri"/>
          <w:sz w:val="22"/>
          <w:szCs w:val="22"/>
          <w:highlight w:val="yellow"/>
        </w:rPr>
        <w:t>[3]</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Contact Information (3)</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Elected</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Contact info (1) </w:t>
      </w:r>
      <w:r w:rsidR="00026444" w:rsidRPr="007F6686">
        <w:rPr>
          <w:rFonts w:ascii="Calibri" w:eastAsia="Times New Roman" w:hAnsi="Calibri"/>
          <w:sz w:val="22"/>
          <w:szCs w:val="22"/>
          <w:highlight w:val="yellow"/>
        </w:rPr>
        <w:t>[1]</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Term of office and next election date (1)</w:t>
      </w:r>
      <w:r w:rsidR="007F6686">
        <w:rPr>
          <w:rFonts w:ascii="Calibri" w:eastAsia="Times New Roman" w:hAnsi="Calibri"/>
          <w:sz w:val="22"/>
          <w:szCs w:val="22"/>
        </w:rPr>
        <w:t xml:space="preserve"> [0]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 xml:space="preserve">Appointed </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All senior administrators and department heads (1)</w:t>
      </w:r>
      <w:r w:rsidR="007F6686">
        <w:rPr>
          <w:rFonts w:ascii="Calibri" w:eastAsia="Times New Roman" w:hAnsi="Calibri"/>
          <w:sz w:val="22"/>
          <w:szCs w:val="22"/>
        </w:rPr>
        <w:t xml:space="preserve"> </w:t>
      </w:r>
      <w:r w:rsidR="007F6686" w:rsidRPr="007F6686">
        <w:rPr>
          <w:rFonts w:ascii="Calibri" w:eastAsia="Times New Roman" w:hAnsi="Calibri"/>
          <w:sz w:val="22"/>
          <w:szCs w:val="22"/>
          <w:highlight w:val="yellow"/>
        </w:rPr>
        <w:t>[1]</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Public Records (2</w:t>
      </w:r>
      <w:r w:rsidR="00853C24">
        <w:rPr>
          <w:rFonts w:ascii="Calibri" w:eastAsia="Times New Roman" w:hAnsi="Calibri"/>
          <w:b/>
          <w:sz w:val="22"/>
          <w:szCs w:val="22"/>
        </w:rPr>
        <w:t>1</w:t>
      </w:r>
      <w:r w:rsidRPr="00DB14E4">
        <w:rPr>
          <w:rFonts w:ascii="Calibri" w:eastAsia="Times New Roman" w:hAnsi="Calibri"/>
          <w:b/>
          <w:sz w:val="22"/>
          <w:szCs w:val="22"/>
        </w:rPr>
        <w:t>)</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Rights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A clear statement of an individual's right of access to records (2)</w:t>
      </w:r>
      <w:r w:rsidR="007F6686">
        <w:rPr>
          <w:rFonts w:ascii="Calibri" w:eastAsia="Times New Roman" w:hAnsi="Calibri"/>
          <w:sz w:val="22"/>
          <w:szCs w:val="22"/>
        </w:rPr>
        <w:t xml:space="preserve">  </w:t>
      </w:r>
      <w:r w:rsidR="007F6686" w:rsidRPr="007F6686">
        <w:rPr>
          <w:rFonts w:ascii="Calibri" w:eastAsia="Times New Roman" w:hAnsi="Calibri"/>
          <w:sz w:val="22"/>
          <w:szCs w:val="22"/>
          <w:highlight w:val="yellow"/>
        </w:rPr>
        <w:t>[2]</w:t>
      </w:r>
    </w:p>
    <w:p w:rsidR="00AB3DF4" w:rsidRPr="007F6686" w:rsidRDefault="00BE7D4C">
      <w:pPr>
        <w:numPr>
          <w:ilvl w:val="3"/>
          <w:numId w:val="1"/>
        </w:numPr>
        <w:ind w:left="2038"/>
        <w:textAlignment w:val="center"/>
        <w:rPr>
          <w:rFonts w:eastAsia="Times New Roman"/>
        </w:rPr>
      </w:pPr>
      <w:r>
        <w:rPr>
          <w:rFonts w:ascii="Calibri" w:eastAsia="Times New Roman" w:hAnsi="Calibri"/>
          <w:sz w:val="22"/>
          <w:szCs w:val="22"/>
        </w:rPr>
        <w:t>Links to the text of state laws and to any supplemental local regulations or policies (2)</w:t>
      </w:r>
      <w:r w:rsidR="007F6686">
        <w:rPr>
          <w:rFonts w:ascii="Calibri" w:eastAsia="Times New Roman" w:hAnsi="Calibri"/>
          <w:sz w:val="22"/>
          <w:szCs w:val="22"/>
        </w:rPr>
        <w:t xml:space="preserve"> [0]</w:t>
      </w:r>
    </w:p>
    <w:p w:rsidR="007F6686" w:rsidRDefault="007F6686" w:rsidP="007F6686">
      <w:pPr>
        <w:ind w:left="2038"/>
        <w:textAlignment w:val="center"/>
        <w:rPr>
          <w:rFonts w:eastAsia="Times New Roman"/>
        </w:rPr>
      </w:pPr>
      <w:r>
        <w:rPr>
          <w:rFonts w:ascii="Calibri" w:eastAsia="Times New Roman" w:hAnsi="Calibri"/>
          <w:sz w:val="22"/>
          <w:szCs w:val="22"/>
        </w:rPr>
        <w:t xml:space="preserve">*The provided link is broken. However, the actual statute is cited. </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Links to any information resources available for persons seeking public records (1)</w:t>
      </w:r>
      <w:r w:rsidR="007F6686">
        <w:rPr>
          <w:rFonts w:ascii="Calibri" w:eastAsia="Times New Roman" w:hAnsi="Calibri"/>
          <w:sz w:val="22"/>
          <w:szCs w:val="22"/>
        </w:rPr>
        <w:t xml:space="preserve"> [0]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Procedures</w:t>
      </w:r>
    </w:p>
    <w:p w:rsidR="00AB3DF4" w:rsidRPr="007F6686" w:rsidRDefault="00BE7D4C">
      <w:pPr>
        <w:numPr>
          <w:ilvl w:val="3"/>
          <w:numId w:val="1"/>
        </w:numPr>
        <w:ind w:left="2038"/>
        <w:textAlignment w:val="center"/>
        <w:rPr>
          <w:rFonts w:eastAsia="Times New Roman"/>
        </w:rPr>
      </w:pPr>
      <w:r>
        <w:rPr>
          <w:rFonts w:ascii="Calibri" w:eastAsia="Times New Roman" w:hAnsi="Calibri"/>
          <w:sz w:val="22"/>
          <w:szCs w:val="22"/>
        </w:rPr>
        <w:t>Local procedures or policies on accessing public records, including guidelines to assist citizens making records request, including fees, and suggestions on how to minimize those costs (3)</w:t>
      </w:r>
      <w:r w:rsidR="007F6686">
        <w:rPr>
          <w:rFonts w:ascii="Calibri" w:eastAsia="Times New Roman" w:hAnsi="Calibri"/>
          <w:sz w:val="22"/>
          <w:szCs w:val="22"/>
        </w:rPr>
        <w:t xml:space="preserve"> </w:t>
      </w:r>
      <w:r w:rsidR="007F6686" w:rsidRPr="007F6686">
        <w:rPr>
          <w:rFonts w:ascii="Calibri" w:eastAsia="Times New Roman" w:hAnsi="Calibri"/>
          <w:sz w:val="22"/>
          <w:szCs w:val="22"/>
          <w:highlight w:val="yellow"/>
        </w:rPr>
        <w:t>[3]</w:t>
      </w:r>
    </w:p>
    <w:p w:rsidR="007F6686" w:rsidRDefault="007F6686" w:rsidP="007F6686">
      <w:pPr>
        <w:ind w:left="2038"/>
        <w:textAlignment w:val="center"/>
        <w:rPr>
          <w:rFonts w:eastAsia="Times New Roman"/>
        </w:rPr>
      </w:pPr>
      <w:r>
        <w:rPr>
          <w:rFonts w:ascii="Calibri" w:eastAsia="Times New Roman" w:hAnsi="Calibri"/>
          <w:sz w:val="22"/>
          <w:szCs w:val="22"/>
        </w:rPr>
        <w:t xml:space="preserve">*Though no recommendations are made as to how to reduce costs, they do inform the public of a no charge option in the form of electronic transmissions. </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Information on electronic access to public records and formats in which data is available (1)</w:t>
      </w:r>
      <w:r w:rsidR="007F6686">
        <w:rPr>
          <w:rFonts w:ascii="Calibri" w:eastAsia="Times New Roman" w:hAnsi="Calibri"/>
          <w:sz w:val="22"/>
          <w:szCs w:val="22"/>
        </w:rPr>
        <w:t xml:space="preserve"> </w:t>
      </w:r>
      <w:r w:rsidR="007F6686" w:rsidRPr="007F6686">
        <w:rPr>
          <w:rFonts w:ascii="Calibri" w:eastAsia="Times New Roman" w:hAnsi="Calibri"/>
          <w:sz w:val="22"/>
          <w:szCs w:val="22"/>
          <w:highlight w:val="yellow"/>
        </w:rPr>
        <w:t>[1]</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Officers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lastRenderedPageBreak/>
        <w:t>Contact information for all records custodians or others charged with assisting the public in providing access to public records, by department, agency, or board. (2)</w:t>
      </w:r>
      <w:r w:rsidR="007F6686">
        <w:rPr>
          <w:rFonts w:ascii="Calibri" w:eastAsia="Times New Roman" w:hAnsi="Calibri"/>
          <w:sz w:val="22"/>
          <w:szCs w:val="22"/>
        </w:rPr>
        <w:t xml:space="preserve"> </w:t>
      </w:r>
      <w:r w:rsidR="007F6686" w:rsidRPr="007F6686">
        <w:rPr>
          <w:rFonts w:ascii="Calibri" w:eastAsia="Times New Roman" w:hAnsi="Calibri"/>
          <w:sz w:val="22"/>
          <w:szCs w:val="22"/>
          <w:highlight w:val="yellow"/>
        </w:rPr>
        <w:t>[2]</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FOI Page</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Open Records Request page that presents all of this information in one place. (2) </w:t>
      </w:r>
      <w:r w:rsidR="00744CA5" w:rsidRPr="00744CA5">
        <w:rPr>
          <w:rFonts w:ascii="Calibri" w:eastAsia="Times New Roman" w:hAnsi="Calibri"/>
          <w:sz w:val="22"/>
          <w:szCs w:val="22"/>
          <w:highlight w:val="yellow"/>
        </w:rPr>
        <w:t>[2]</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FRIs</w:t>
      </w:r>
    </w:p>
    <w:p w:rsidR="00AB3DF4" w:rsidRPr="00744CA5" w:rsidRDefault="00BE7D4C">
      <w:pPr>
        <w:numPr>
          <w:ilvl w:val="3"/>
          <w:numId w:val="1"/>
        </w:numPr>
        <w:ind w:left="2038"/>
        <w:textAlignment w:val="center"/>
        <w:rPr>
          <w:rFonts w:eastAsia="Times New Roman"/>
        </w:rPr>
      </w:pPr>
      <w:r>
        <w:rPr>
          <w:rFonts w:ascii="Calibri" w:eastAsia="Times New Roman" w:hAnsi="Calibri"/>
          <w:sz w:val="22"/>
          <w:szCs w:val="22"/>
        </w:rPr>
        <w:t>Frequently requested information is indexed and posted (1)</w:t>
      </w:r>
      <w:r w:rsidR="00744CA5">
        <w:rPr>
          <w:rFonts w:ascii="Calibri" w:eastAsia="Times New Roman" w:hAnsi="Calibri"/>
          <w:sz w:val="22"/>
          <w:szCs w:val="22"/>
        </w:rPr>
        <w:t xml:space="preserve"> </w:t>
      </w:r>
      <w:r w:rsidR="00744CA5" w:rsidRPr="00744CA5">
        <w:rPr>
          <w:rFonts w:ascii="Calibri" w:eastAsia="Times New Roman" w:hAnsi="Calibri"/>
          <w:sz w:val="22"/>
          <w:szCs w:val="22"/>
          <w:highlight w:val="yellow"/>
        </w:rPr>
        <w:t>[1]</w:t>
      </w:r>
    </w:p>
    <w:p w:rsidR="00744CA5" w:rsidRDefault="00744CA5" w:rsidP="00744CA5">
      <w:pPr>
        <w:ind w:left="2038"/>
        <w:textAlignment w:val="center"/>
        <w:rPr>
          <w:rFonts w:eastAsia="Times New Roman"/>
        </w:rPr>
      </w:pPr>
      <w:r>
        <w:rPr>
          <w:rFonts w:ascii="Calibri" w:eastAsia="Times New Roman" w:hAnsi="Calibri"/>
          <w:sz w:val="22"/>
          <w:szCs w:val="22"/>
        </w:rPr>
        <w:t xml:space="preserve">*While not organized in a way a FAQ page would be, the archive web page provides access to a numerous amount of documents.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Tracking</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Website feature for tracking of records requests, whether made online or otherwise. (2)</w:t>
      </w:r>
      <w:r w:rsidR="00744CA5">
        <w:rPr>
          <w:rFonts w:ascii="Calibri" w:eastAsia="Times New Roman" w:hAnsi="Calibri"/>
          <w:sz w:val="22"/>
          <w:szCs w:val="22"/>
        </w:rPr>
        <w:t xml:space="preserve"> [0]</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Ordinances</w:t>
      </w:r>
    </w:p>
    <w:p w:rsidR="00AB3DF4" w:rsidRPr="00744CA5" w:rsidRDefault="00BE7D4C">
      <w:pPr>
        <w:numPr>
          <w:ilvl w:val="3"/>
          <w:numId w:val="1"/>
        </w:numPr>
        <w:ind w:left="2038"/>
        <w:textAlignment w:val="center"/>
        <w:rPr>
          <w:rFonts w:eastAsia="Times New Roman"/>
        </w:rPr>
      </w:pPr>
      <w:r>
        <w:rPr>
          <w:rFonts w:ascii="Calibri" w:eastAsia="Times New Roman" w:hAnsi="Calibri"/>
          <w:sz w:val="22"/>
          <w:szCs w:val="22"/>
        </w:rPr>
        <w:t>City code or ordinances access (3)</w:t>
      </w:r>
      <w:r w:rsidR="00744CA5">
        <w:rPr>
          <w:rFonts w:ascii="Calibri" w:eastAsia="Times New Roman" w:hAnsi="Calibri"/>
          <w:sz w:val="22"/>
          <w:szCs w:val="22"/>
        </w:rPr>
        <w:t xml:space="preserve"> </w:t>
      </w:r>
      <w:r w:rsidR="00744CA5" w:rsidRPr="00744CA5">
        <w:rPr>
          <w:rFonts w:ascii="Calibri" w:eastAsia="Times New Roman" w:hAnsi="Calibri"/>
          <w:sz w:val="22"/>
          <w:szCs w:val="22"/>
          <w:highlight w:val="yellow"/>
        </w:rPr>
        <w:t>[3]</w:t>
      </w:r>
    </w:p>
    <w:p w:rsidR="00744CA5" w:rsidRDefault="00744CA5" w:rsidP="00744CA5">
      <w:pPr>
        <w:ind w:left="2038"/>
        <w:textAlignment w:val="center"/>
        <w:rPr>
          <w:rFonts w:eastAsia="Times New Roman"/>
        </w:rPr>
      </w:pPr>
      <w:r>
        <w:rPr>
          <w:rFonts w:ascii="Calibri" w:eastAsia="Times New Roman" w:hAnsi="Calibri"/>
          <w:sz w:val="22"/>
          <w:szCs w:val="22"/>
        </w:rPr>
        <w:t xml:space="preserve">*Found through a link on the municipal court’s website.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Jobs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Job vacancies with county </w:t>
      </w:r>
      <w:r w:rsidR="00853C24">
        <w:rPr>
          <w:rFonts w:ascii="Calibri" w:eastAsia="Times New Roman" w:hAnsi="Calibri"/>
          <w:sz w:val="22"/>
          <w:szCs w:val="22"/>
        </w:rPr>
        <w:t>or city are posted on website (2</w:t>
      </w:r>
      <w:r>
        <w:rPr>
          <w:rFonts w:ascii="Calibri" w:eastAsia="Times New Roman" w:hAnsi="Calibri"/>
          <w:sz w:val="22"/>
          <w:szCs w:val="22"/>
        </w:rPr>
        <w:t xml:space="preserve">) </w:t>
      </w:r>
      <w:r w:rsidR="00744CA5" w:rsidRPr="00744CA5">
        <w:rPr>
          <w:rFonts w:ascii="Calibri" w:eastAsia="Times New Roman" w:hAnsi="Calibri"/>
          <w:sz w:val="22"/>
          <w:szCs w:val="22"/>
          <w:highlight w:val="yellow"/>
        </w:rPr>
        <w:t>[2]</w:t>
      </w:r>
    </w:p>
    <w:p w:rsidR="00AB3DF4" w:rsidRPr="00DB14E4" w:rsidRDefault="00853C24">
      <w:pPr>
        <w:numPr>
          <w:ilvl w:val="1"/>
          <w:numId w:val="1"/>
        </w:numPr>
        <w:ind w:left="958"/>
        <w:textAlignment w:val="center"/>
        <w:rPr>
          <w:rFonts w:eastAsia="Times New Roman"/>
          <w:b/>
        </w:rPr>
      </w:pPr>
      <w:r>
        <w:rPr>
          <w:rFonts w:ascii="Calibri" w:eastAsia="Times New Roman" w:hAnsi="Calibri"/>
          <w:b/>
          <w:sz w:val="22"/>
          <w:szCs w:val="22"/>
        </w:rPr>
        <w:t>Website Functionality (9</w:t>
      </w:r>
      <w:r w:rsidR="00BE7D4C" w:rsidRPr="00DB14E4">
        <w:rPr>
          <w:rFonts w:ascii="Calibri" w:eastAsia="Times New Roman" w:hAnsi="Calibri"/>
          <w:b/>
          <w:sz w:val="22"/>
          <w:szCs w:val="22"/>
        </w:rPr>
        <w:t xml:space="preserve">)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Downloadable</w:t>
      </w:r>
    </w:p>
    <w:p w:rsidR="00A7652E" w:rsidRPr="00744CA5" w:rsidRDefault="00BE7D4C" w:rsidP="00744CA5">
      <w:pPr>
        <w:numPr>
          <w:ilvl w:val="3"/>
          <w:numId w:val="1"/>
        </w:numPr>
        <w:ind w:left="2038"/>
        <w:textAlignment w:val="center"/>
        <w:rPr>
          <w:rFonts w:eastAsia="Times New Roman"/>
        </w:rPr>
      </w:pPr>
      <w:r>
        <w:rPr>
          <w:rFonts w:ascii="Calibri" w:eastAsia="Times New Roman" w:hAnsi="Calibri"/>
          <w:sz w:val="22"/>
          <w:szCs w:val="22"/>
        </w:rPr>
        <w:t>Information can be downloaded in form that is easily searched and sortable. (2)</w:t>
      </w:r>
      <w:r w:rsidR="00744CA5">
        <w:rPr>
          <w:rFonts w:ascii="Calibri" w:eastAsia="Times New Roman" w:hAnsi="Calibri"/>
          <w:sz w:val="22"/>
          <w:szCs w:val="22"/>
        </w:rPr>
        <w:t xml:space="preserve"> </w:t>
      </w:r>
      <w:r w:rsidR="00744CA5" w:rsidRPr="00744CA5">
        <w:rPr>
          <w:rFonts w:ascii="Calibri" w:eastAsia="Times New Roman" w:hAnsi="Calibri"/>
          <w:sz w:val="22"/>
          <w:szCs w:val="22"/>
          <w:highlight w:val="yellow"/>
        </w:rPr>
        <w:t>[2]</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Searchable</w:t>
      </w:r>
    </w:p>
    <w:p w:rsidR="00DB14E4" w:rsidRPr="00A7652E" w:rsidRDefault="00BE7D4C" w:rsidP="00A7652E">
      <w:pPr>
        <w:numPr>
          <w:ilvl w:val="3"/>
          <w:numId w:val="1"/>
        </w:numPr>
        <w:ind w:left="2038"/>
        <w:textAlignment w:val="center"/>
        <w:rPr>
          <w:rFonts w:eastAsia="Times New Roman"/>
        </w:rPr>
      </w:pPr>
      <w:r>
        <w:rPr>
          <w:rFonts w:ascii="Calibri" w:eastAsia="Times New Roman" w:hAnsi="Calibri"/>
          <w:sz w:val="22"/>
          <w:szCs w:val="22"/>
        </w:rPr>
        <w:t>There is a homepage search box that allows search by key word, phrase, or activity, and by agency, department, or board. (2)</w:t>
      </w:r>
      <w:r w:rsidR="00885498">
        <w:rPr>
          <w:rFonts w:ascii="Calibri" w:eastAsia="Times New Roman" w:hAnsi="Calibri"/>
          <w:sz w:val="22"/>
          <w:szCs w:val="22"/>
        </w:rPr>
        <w:t xml:space="preserve"> </w:t>
      </w:r>
      <w:r w:rsidR="00885498" w:rsidRPr="00885498">
        <w:rPr>
          <w:rFonts w:ascii="Calibri" w:eastAsia="Times New Roman" w:hAnsi="Calibri"/>
          <w:sz w:val="22"/>
          <w:szCs w:val="22"/>
          <w:highlight w:val="yellow"/>
        </w:rPr>
        <w:t>[2]</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One-Click</w:t>
      </w:r>
    </w:p>
    <w:p w:rsidR="00AB3DF4" w:rsidRPr="00744CA5" w:rsidRDefault="00BE7D4C">
      <w:pPr>
        <w:numPr>
          <w:ilvl w:val="3"/>
          <w:numId w:val="1"/>
        </w:numPr>
        <w:ind w:left="2038"/>
        <w:textAlignment w:val="center"/>
        <w:rPr>
          <w:rFonts w:eastAsia="Times New Roman"/>
        </w:rPr>
      </w:pPr>
      <w:r>
        <w:rPr>
          <w:rFonts w:ascii="Calibri" w:eastAsia="Times New Roman" w:hAnsi="Calibri"/>
          <w:sz w:val="22"/>
          <w:szCs w:val="22"/>
        </w:rPr>
        <w:t>Most information can be found with a single click/drop-down menu from home page. (2)</w:t>
      </w:r>
      <w:r w:rsidR="00744CA5">
        <w:rPr>
          <w:rFonts w:ascii="Calibri" w:eastAsia="Times New Roman" w:hAnsi="Calibri"/>
          <w:sz w:val="22"/>
          <w:szCs w:val="22"/>
        </w:rPr>
        <w:t xml:space="preserve"> [0]</w:t>
      </w:r>
    </w:p>
    <w:p w:rsidR="00744CA5" w:rsidRDefault="00744CA5" w:rsidP="00744CA5">
      <w:pPr>
        <w:ind w:left="2038"/>
        <w:textAlignment w:val="center"/>
        <w:rPr>
          <w:rFonts w:eastAsia="Times New Roman"/>
        </w:rPr>
      </w:pPr>
      <w:r>
        <w:rPr>
          <w:rFonts w:ascii="Calibri" w:eastAsia="Times New Roman" w:hAnsi="Calibri"/>
          <w:sz w:val="22"/>
          <w:szCs w:val="22"/>
        </w:rPr>
        <w:t>*The information is scattered throughout the website and it is not very intuitive.</w:t>
      </w:r>
    </w:p>
    <w:p w:rsidR="00AB3DF4" w:rsidRDefault="00BE7D4C">
      <w:pPr>
        <w:numPr>
          <w:ilvl w:val="2"/>
          <w:numId w:val="1"/>
        </w:numPr>
        <w:ind w:left="1498"/>
        <w:textAlignment w:val="center"/>
        <w:rPr>
          <w:rFonts w:eastAsia="Times New Roman"/>
        </w:rPr>
      </w:pPr>
      <w:r w:rsidRPr="00DB14E4">
        <w:rPr>
          <w:rFonts w:ascii="Calibri" w:eastAsia="Times New Roman" w:hAnsi="Calibri"/>
          <w:sz w:val="22"/>
          <w:szCs w:val="22"/>
          <w:u w:val="single"/>
        </w:rPr>
        <w:t>Site</w:t>
      </w:r>
      <w:r>
        <w:rPr>
          <w:rFonts w:ascii="Calibri" w:eastAsia="Times New Roman" w:hAnsi="Calibri"/>
          <w:sz w:val="22"/>
          <w:szCs w:val="22"/>
        </w:rPr>
        <w:t xml:space="preserve"> </w:t>
      </w:r>
      <w:r w:rsidRPr="00DB14E4">
        <w:rPr>
          <w:rFonts w:ascii="Calibri" w:eastAsia="Times New Roman" w:hAnsi="Calibri"/>
          <w:sz w:val="22"/>
          <w:szCs w:val="22"/>
          <w:u w:val="single"/>
        </w:rPr>
        <w:t>Index</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A readily accessible site index of all pages, features. (2)</w:t>
      </w:r>
      <w:r w:rsidR="00885498">
        <w:rPr>
          <w:rFonts w:ascii="Calibri" w:eastAsia="Times New Roman" w:hAnsi="Calibri"/>
          <w:sz w:val="22"/>
          <w:szCs w:val="22"/>
        </w:rPr>
        <w:t xml:space="preserve"> </w:t>
      </w:r>
      <w:r w:rsidR="00885498" w:rsidRPr="00885498">
        <w:rPr>
          <w:rFonts w:ascii="Calibri" w:eastAsia="Times New Roman" w:hAnsi="Calibri"/>
          <w:sz w:val="22"/>
          <w:szCs w:val="22"/>
          <w:highlight w:val="yellow"/>
        </w:rPr>
        <w:t>[2]</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Feedback</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Users are invited to c</w:t>
      </w:r>
      <w:r w:rsidR="00853C24">
        <w:rPr>
          <w:rFonts w:ascii="Calibri" w:eastAsia="Times New Roman" w:hAnsi="Calibri"/>
          <w:sz w:val="22"/>
          <w:szCs w:val="22"/>
        </w:rPr>
        <w:t>omment on website, functions. (1</w:t>
      </w:r>
      <w:r>
        <w:rPr>
          <w:rFonts w:ascii="Calibri" w:eastAsia="Times New Roman" w:hAnsi="Calibri"/>
          <w:sz w:val="22"/>
          <w:szCs w:val="22"/>
        </w:rPr>
        <w:t xml:space="preserve">) </w:t>
      </w:r>
      <w:r w:rsidR="00885498" w:rsidRPr="00885498">
        <w:rPr>
          <w:rFonts w:ascii="Calibri" w:eastAsia="Times New Roman" w:hAnsi="Calibri"/>
          <w:sz w:val="22"/>
          <w:szCs w:val="22"/>
          <w:highlight w:val="yellow"/>
        </w:rPr>
        <w:t>[1]</w:t>
      </w:r>
    </w:p>
    <w:p w:rsidR="00AB3DF4" w:rsidRPr="00DB14E4" w:rsidRDefault="00BE7D4C">
      <w:pPr>
        <w:numPr>
          <w:ilvl w:val="1"/>
          <w:numId w:val="1"/>
        </w:numPr>
        <w:ind w:left="958"/>
        <w:textAlignment w:val="center"/>
        <w:rPr>
          <w:rFonts w:eastAsia="Times New Roman"/>
          <w:b/>
        </w:rPr>
      </w:pPr>
      <w:r w:rsidRPr="00DB14E4">
        <w:rPr>
          <w:rFonts w:ascii="Calibri" w:eastAsia="Times New Roman" w:hAnsi="Calibri"/>
          <w:b/>
          <w:sz w:val="22"/>
          <w:szCs w:val="22"/>
        </w:rPr>
        <w:t>Frequently Sought Information (9)</w:t>
      </w:r>
    </w:p>
    <w:p w:rsidR="00AB3DF4" w:rsidRDefault="00BE7D4C">
      <w:pPr>
        <w:numPr>
          <w:ilvl w:val="2"/>
          <w:numId w:val="1"/>
        </w:numPr>
        <w:ind w:left="1498"/>
        <w:textAlignment w:val="center"/>
        <w:rPr>
          <w:rFonts w:eastAsia="Times New Roman"/>
        </w:rPr>
      </w:pPr>
      <w:r w:rsidRPr="00DB14E4">
        <w:rPr>
          <w:rFonts w:ascii="Calibri" w:eastAsia="Times New Roman" w:hAnsi="Calibri"/>
          <w:sz w:val="22"/>
          <w:szCs w:val="22"/>
          <w:u w:val="single"/>
        </w:rPr>
        <w:t>Building,</w:t>
      </w:r>
      <w:r>
        <w:rPr>
          <w:rFonts w:ascii="Calibri" w:eastAsia="Times New Roman" w:hAnsi="Calibri"/>
          <w:sz w:val="22"/>
          <w:szCs w:val="22"/>
        </w:rPr>
        <w:t xml:space="preserve"> </w:t>
      </w:r>
      <w:r w:rsidRPr="00DB14E4">
        <w:rPr>
          <w:rFonts w:ascii="Calibri" w:eastAsia="Times New Roman" w:hAnsi="Calibri"/>
          <w:sz w:val="22"/>
          <w:szCs w:val="22"/>
          <w:u w:val="single"/>
        </w:rPr>
        <w:t>Zoning</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Links to building and zoning regulations and maps. (2)</w:t>
      </w:r>
      <w:r w:rsidR="00885498">
        <w:rPr>
          <w:rFonts w:ascii="Calibri" w:eastAsia="Times New Roman" w:hAnsi="Calibri"/>
          <w:sz w:val="22"/>
          <w:szCs w:val="22"/>
        </w:rPr>
        <w:t xml:space="preserve"> </w:t>
      </w:r>
      <w:r w:rsidR="00885498" w:rsidRPr="00885498">
        <w:rPr>
          <w:rFonts w:ascii="Calibri" w:eastAsia="Times New Roman" w:hAnsi="Calibri"/>
          <w:sz w:val="22"/>
          <w:szCs w:val="22"/>
          <w:highlight w:val="yellow"/>
        </w:rPr>
        <w:t>[2]</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Hearing schedules and agendas. (1)</w:t>
      </w:r>
      <w:r w:rsidR="00744CA5">
        <w:rPr>
          <w:rFonts w:ascii="Calibri" w:eastAsia="Times New Roman" w:hAnsi="Calibri"/>
          <w:sz w:val="22"/>
          <w:szCs w:val="22"/>
        </w:rPr>
        <w:t xml:space="preserve"> </w:t>
      </w:r>
      <w:r w:rsidR="00744CA5" w:rsidRPr="00744CA5">
        <w:rPr>
          <w:rFonts w:ascii="Calibri" w:eastAsia="Times New Roman" w:hAnsi="Calibri"/>
          <w:sz w:val="22"/>
          <w:szCs w:val="22"/>
          <w:highlight w:val="yellow"/>
        </w:rPr>
        <w:t>[1]</w:t>
      </w:r>
    </w:p>
    <w:p w:rsidR="00AB3DF4" w:rsidRDefault="00BE7D4C">
      <w:pPr>
        <w:numPr>
          <w:ilvl w:val="2"/>
          <w:numId w:val="1"/>
        </w:numPr>
        <w:ind w:left="1498"/>
        <w:textAlignment w:val="center"/>
        <w:rPr>
          <w:rFonts w:eastAsia="Times New Roman"/>
        </w:rPr>
      </w:pPr>
      <w:r w:rsidRPr="00DB14E4">
        <w:rPr>
          <w:rFonts w:ascii="Calibri" w:eastAsia="Times New Roman" w:hAnsi="Calibri"/>
          <w:sz w:val="22"/>
          <w:szCs w:val="22"/>
          <w:u w:val="single"/>
        </w:rPr>
        <w:t>Public</w:t>
      </w:r>
      <w:r>
        <w:rPr>
          <w:rFonts w:ascii="Calibri" w:eastAsia="Times New Roman" w:hAnsi="Calibri"/>
          <w:sz w:val="22"/>
          <w:szCs w:val="22"/>
        </w:rPr>
        <w:t xml:space="preserve"> </w:t>
      </w:r>
      <w:r w:rsidRPr="00DB14E4">
        <w:rPr>
          <w:rFonts w:ascii="Calibri" w:eastAsia="Times New Roman" w:hAnsi="Calibri"/>
          <w:sz w:val="22"/>
          <w:szCs w:val="22"/>
          <w:u w:val="single"/>
        </w:rPr>
        <w:t>Safety</w:t>
      </w:r>
    </w:p>
    <w:p w:rsidR="00AB3DF4" w:rsidRPr="00744CA5" w:rsidRDefault="00BE7D4C">
      <w:pPr>
        <w:numPr>
          <w:ilvl w:val="3"/>
          <w:numId w:val="1"/>
        </w:numPr>
        <w:ind w:left="2038"/>
        <w:textAlignment w:val="center"/>
        <w:rPr>
          <w:rFonts w:eastAsia="Times New Roman"/>
        </w:rPr>
      </w:pPr>
      <w:r>
        <w:rPr>
          <w:rFonts w:ascii="Calibri" w:eastAsia="Times New Roman" w:hAnsi="Calibri"/>
          <w:sz w:val="22"/>
          <w:szCs w:val="22"/>
        </w:rPr>
        <w:t>Easy access to police crime reports, by neighborhood. (1)</w:t>
      </w:r>
      <w:r w:rsidR="00744CA5">
        <w:rPr>
          <w:rFonts w:ascii="Calibri" w:eastAsia="Times New Roman" w:hAnsi="Calibri"/>
          <w:sz w:val="22"/>
          <w:szCs w:val="22"/>
        </w:rPr>
        <w:t xml:space="preserve"> </w:t>
      </w:r>
      <w:r w:rsidR="00744CA5" w:rsidRPr="00744CA5">
        <w:rPr>
          <w:rFonts w:ascii="Calibri" w:eastAsia="Times New Roman" w:hAnsi="Calibri"/>
          <w:sz w:val="22"/>
          <w:szCs w:val="22"/>
          <w:highlight w:val="yellow"/>
        </w:rPr>
        <w:t>[1]</w:t>
      </w:r>
    </w:p>
    <w:p w:rsidR="00744CA5" w:rsidRDefault="00744CA5" w:rsidP="00744CA5">
      <w:pPr>
        <w:ind w:left="2038"/>
        <w:textAlignment w:val="center"/>
        <w:rPr>
          <w:rFonts w:eastAsia="Times New Roman"/>
        </w:rPr>
      </w:pPr>
      <w:r>
        <w:rPr>
          <w:rFonts w:ascii="Calibri" w:eastAsia="Times New Roman" w:hAnsi="Calibri"/>
          <w:sz w:val="22"/>
          <w:szCs w:val="22"/>
        </w:rPr>
        <w:t xml:space="preserve">*Access is through the police department’s website. No link for it was present in the home page. Utilized the search function. </w:t>
      </w:r>
    </w:p>
    <w:p w:rsidR="00AB3DF4" w:rsidRPr="00DB14E4" w:rsidRDefault="00BE7D4C">
      <w:pPr>
        <w:numPr>
          <w:ilvl w:val="2"/>
          <w:numId w:val="1"/>
        </w:numPr>
        <w:ind w:left="1498"/>
        <w:textAlignment w:val="center"/>
        <w:rPr>
          <w:rFonts w:eastAsia="Times New Roman"/>
          <w:u w:val="single"/>
        </w:rPr>
      </w:pPr>
      <w:r w:rsidRPr="00DB14E4">
        <w:rPr>
          <w:rFonts w:ascii="Calibri" w:eastAsia="Times New Roman" w:hAnsi="Calibri"/>
          <w:sz w:val="22"/>
          <w:szCs w:val="22"/>
          <w:u w:val="single"/>
        </w:rPr>
        <w:t>Assessments</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Links to property assessments. (1)</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Information on assessment appeals process. (1) </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Information on filing for assessment exemptions. (1) </w:t>
      </w:r>
    </w:p>
    <w:p w:rsidR="00AB3DF4" w:rsidRDefault="00BE7D4C">
      <w:pPr>
        <w:numPr>
          <w:ilvl w:val="3"/>
          <w:numId w:val="1"/>
        </w:numPr>
        <w:ind w:left="2038"/>
        <w:textAlignment w:val="center"/>
        <w:rPr>
          <w:rFonts w:eastAsia="Times New Roman"/>
        </w:rPr>
      </w:pPr>
      <w:r>
        <w:rPr>
          <w:rFonts w:ascii="Calibri" w:eastAsia="Times New Roman" w:hAnsi="Calibri"/>
          <w:sz w:val="22"/>
          <w:szCs w:val="22"/>
        </w:rPr>
        <w:t xml:space="preserve">Searchable website provided to acquire property assessment. (2) </w:t>
      </w:r>
    </w:p>
    <w:p w:rsidR="00AB3DF4" w:rsidRDefault="00BE7D4C">
      <w:pPr>
        <w:pStyle w:val="NormalWeb"/>
        <w:spacing w:before="0" w:beforeAutospacing="0" w:after="0" w:afterAutospacing="0"/>
        <w:ind w:left="1498"/>
        <w:rPr>
          <w:rFonts w:ascii="Calibri" w:hAnsi="Calibri"/>
          <w:sz w:val="22"/>
          <w:szCs w:val="22"/>
        </w:rPr>
      </w:pPr>
      <w:r>
        <w:rPr>
          <w:rFonts w:ascii="Calibri" w:hAnsi="Calibri"/>
          <w:sz w:val="22"/>
          <w:szCs w:val="22"/>
        </w:rPr>
        <w:t> </w:t>
      </w:r>
    </w:p>
    <w:p w:rsidR="00AB3DF4" w:rsidRDefault="00BE7D4C">
      <w:pPr>
        <w:pStyle w:val="NormalWeb"/>
        <w:spacing w:before="0" w:beforeAutospacing="0" w:after="0" w:afterAutospacing="0"/>
        <w:ind w:left="1498"/>
        <w:rPr>
          <w:rFonts w:ascii="Calibri" w:hAnsi="Calibri"/>
          <w:sz w:val="22"/>
          <w:szCs w:val="22"/>
        </w:rPr>
      </w:pPr>
      <w:r>
        <w:rPr>
          <w:rFonts w:ascii="Calibri" w:hAnsi="Calibri"/>
          <w:sz w:val="22"/>
          <w:szCs w:val="22"/>
        </w:rPr>
        <w:t> </w:t>
      </w:r>
      <w:r w:rsidR="00DB14E4">
        <w:rPr>
          <w:rFonts w:ascii="Calibri" w:hAnsi="Calibri"/>
          <w:sz w:val="22"/>
          <w:szCs w:val="22"/>
        </w:rPr>
        <w:tab/>
      </w:r>
    </w:p>
    <w:p w:rsidR="00DB14E4" w:rsidRDefault="00DB14E4">
      <w:pPr>
        <w:pStyle w:val="NormalWeb"/>
        <w:spacing w:before="0" w:beforeAutospacing="0" w:after="0" w:afterAutospacing="0"/>
        <w:ind w:left="1498"/>
        <w:rPr>
          <w:rFonts w:ascii="Calibri" w:hAnsi="Calibri"/>
          <w:sz w:val="22"/>
          <w:szCs w:val="22"/>
        </w:rPr>
      </w:pPr>
    </w:p>
    <w:p w:rsidR="00DB14E4" w:rsidRDefault="00DB14E4" w:rsidP="00DB14E4">
      <w:pPr>
        <w:pStyle w:val="NormalWeb"/>
        <w:spacing w:before="0" w:beforeAutospacing="0" w:after="0" w:afterAutospacing="0"/>
        <w:rPr>
          <w:rFonts w:ascii="Arial" w:hAnsi="Arial" w:cs="Arial"/>
          <w:b/>
          <w:sz w:val="36"/>
          <w:szCs w:val="36"/>
        </w:rPr>
      </w:pPr>
      <w:r w:rsidRPr="00DB14E4">
        <w:rPr>
          <w:rFonts w:ascii="Arial" w:hAnsi="Arial" w:cs="Arial"/>
          <w:b/>
          <w:sz w:val="36"/>
          <w:szCs w:val="36"/>
        </w:rPr>
        <w:t>Score Total: _</w:t>
      </w:r>
      <w:r>
        <w:rPr>
          <w:rFonts w:ascii="Arial" w:hAnsi="Arial" w:cs="Arial"/>
          <w:b/>
          <w:sz w:val="36"/>
          <w:szCs w:val="36"/>
        </w:rPr>
        <w:t>_______</w:t>
      </w:r>
      <w:r w:rsidR="004A3A87">
        <w:rPr>
          <w:rFonts w:ascii="Arial" w:hAnsi="Arial" w:cs="Arial"/>
          <w:b/>
          <w:sz w:val="36"/>
          <w:szCs w:val="36"/>
        </w:rPr>
        <w:t>70</w:t>
      </w:r>
      <w:bookmarkStart w:id="0" w:name="_GoBack"/>
      <w:bookmarkEnd w:id="0"/>
      <w:r>
        <w:rPr>
          <w:rFonts w:ascii="Arial" w:hAnsi="Arial" w:cs="Arial"/>
          <w:b/>
          <w:sz w:val="36"/>
          <w:szCs w:val="36"/>
        </w:rPr>
        <w:t>_____________</w:t>
      </w:r>
    </w:p>
    <w:p w:rsidR="00DB14E4" w:rsidRDefault="00DB14E4" w:rsidP="00DB14E4">
      <w:pPr>
        <w:pStyle w:val="NormalWeb"/>
        <w:spacing w:before="0" w:beforeAutospacing="0" w:after="0" w:afterAutospacing="0"/>
        <w:rPr>
          <w:rFonts w:ascii="Arial" w:hAnsi="Arial" w:cs="Arial"/>
          <w:b/>
          <w:sz w:val="36"/>
          <w:szCs w:val="36"/>
        </w:rPr>
      </w:pPr>
    </w:p>
    <w:p w:rsidR="00DB14E4" w:rsidRDefault="00DB14E4" w:rsidP="00DB14E4">
      <w:pPr>
        <w:pStyle w:val="NormalWeb"/>
        <w:spacing w:before="0" w:beforeAutospacing="0" w:after="0" w:afterAutospacing="0"/>
        <w:rPr>
          <w:rFonts w:ascii="Arial" w:hAnsi="Arial" w:cs="Arial"/>
          <w:sz w:val="28"/>
          <w:szCs w:val="28"/>
        </w:rPr>
      </w:pPr>
      <w:r>
        <w:rPr>
          <w:rFonts w:ascii="Arial" w:hAnsi="Arial" w:cs="Arial"/>
          <w:b/>
          <w:sz w:val="36"/>
          <w:szCs w:val="36"/>
        </w:rPr>
        <w:t xml:space="preserve">Comments: </w:t>
      </w:r>
      <w:r w:rsidR="00744CA5">
        <w:rPr>
          <w:rFonts w:ascii="Arial" w:hAnsi="Arial" w:cs="Arial"/>
          <w:sz w:val="28"/>
          <w:szCs w:val="28"/>
        </w:rPr>
        <w:t xml:space="preserve">The use of the transparency link is very helpful in finding quite a bit of information. However, there is still a lot of useful and important information that is not on that link. It requires quite a bit of searching and reading to find information that is not on the transparency website. </w:t>
      </w:r>
    </w:p>
    <w:p w:rsidR="00744CA5" w:rsidRDefault="00744CA5" w:rsidP="00DB14E4">
      <w:pPr>
        <w:pStyle w:val="NormalWeb"/>
        <w:spacing w:before="0" w:beforeAutospacing="0" w:after="0" w:afterAutospacing="0"/>
        <w:rPr>
          <w:rFonts w:ascii="Arial" w:hAnsi="Arial" w:cs="Arial"/>
          <w:sz w:val="28"/>
          <w:szCs w:val="28"/>
        </w:rPr>
      </w:pPr>
    </w:p>
    <w:p w:rsidR="00744CA5" w:rsidRPr="00744CA5" w:rsidRDefault="00744CA5" w:rsidP="00DB14E4">
      <w:pPr>
        <w:pStyle w:val="NormalWeb"/>
        <w:spacing w:before="0" w:beforeAutospacing="0" w:after="0" w:afterAutospacing="0"/>
        <w:rPr>
          <w:rFonts w:ascii="Arial" w:hAnsi="Arial" w:cs="Arial"/>
          <w:sz w:val="28"/>
          <w:szCs w:val="28"/>
        </w:rPr>
      </w:pPr>
      <w:r>
        <w:rPr>
          <w:rFonts w:ascii="Arial" w:hAnsi="Arial" w:cs="Arial"/>
          <w:sz w:val="28"/>
          <w:szCs w:val="28"/>
        </w:rPr>
        <w:t xml:space="preserve">The troubling aspect of the link is that it does not provide any instruction on the other parts of the website where the information might be found. It can give the false impression that the available information is already presented. It can create confusion and actually be contradictory to the goals of open government. </w:t>
      </w:r>
    </w:p>
    <w:sectPr w:rsidR="00744CA5" w:rsidRPr="00744CA5" w:rsidSect="00DB14E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450C09"/>
    <w:multiLevelType w:val="multilevel"/>
    <w:tmpl w:val="CB04D6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4C"/>
    <w:rsid w:val="00026444"/>
    <w:rsid w:val="0046690A"/>
    <w:rsid w:val="004A3A87"/>
    <w:rsid w:val="00563272"/>
    <w:rsid w:val="005F5392"/>
    <w:rsid w:val="00744CA5"/>
    <w:rsid w:val="007B4B5D"/>
    <w:rsid w:val="007F6686"/>
    <w:rsid w:val="00853C24"/>
    <w:rsid w:val="00885498"/>
    <w:rsid w:val="00A7652E"/>
    <w:rsid w:val="00AB3DF4"/>
    <w:rsid w:val="00BE7D4C"/>
    <w:rsid w:val="00DB1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2D6FCB-5325-4CDE-8E0D-D22AEBCB9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BalloonText">
    <w:name w:val="Balloon Text"/>
    <w:basedOn w:val="Normal"/>
    <w:link w:val="BalloonTextChar"/>
    <w:uiPriority w:val="99"/>
    <w:semiHidden/>
    <w:unhideWhenUsed/>
    <w:rsid w:val="00A7652E"/>
    <w:rPr>
      <w:rFonts w:ascii="Tahoma" w:hAnsi="Tahoma" w:cs="Tahoma"/>
      <w:sz w:val="16"/>
      <w:szCs w:val="16"/>
    </w:rPr>
  </w:style>
  <w:style w:type="character" w:customStyle="1" w:styleId="BalloonTextChar">
    <w:name w:val="Balloon Text Char"/>
    <w:basedOn w:val="DefaultParagraphFont"/>
    <w:link w:val="BalloonText"/>
    <w:uiPriority w:val="99"/>
    <w:semiHidden/>
    <w:rsid w:val="00A7652E"/>
    <w:rPr>
      <w:rFonts w:ascii="Tahoma" w:eastAsiaTheme="minorEastAsia" w:hAnsi="Tahoma" w:cs="Tahoma"/>
      <w:sz w:val="16"/>
      <w:szCs w:val="16"/>
    </w:rPr>
  </w:style>
  <w:style w:type="paragraph" w:styleId="ListParagraph">
    <w:name w:val="List Paragraph"/>
    <w:basedOn w:val="Normal"/>
    <w:uiPriority w:val="34"/>
    <w:qFormat/>
    <w:rsid w:val="00466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Cardoza</dc:creator>
  <cp:keywords/>
  <dc:description/>
  <cp:lastModifiedBy>Frank Cardoza</cp:lastModifiedBy>
  <cp:revision>3</cp:revision>
  <cp:lastPrinted>2014-09-26T17:13:00Z</cp:lastPrinted>
  <dcterms:created xsi:type="dcterms:W3CDTF">2014-12-18T23:45:00Z</dcterms:created>
  <dcterms:modified xsi:type="dcterms:W3CDTF">2015-08-08T23:25:00Z</dcterms:modified>
</cp:coreProperties>
</file>