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2"/>
        <w:ind w:left="4961" w:right="0" w:firstLine="0"/>
        <w:jc w:val="left"/>
        <w:rPr>
          <w:rFonts w:ascii="Arial"/>
          <w:b/>
          <w:sz w:val="80"/>
        </w:rPr>
      </w:pPr>
      <w:r>
        <w:rPr/>
        <w:drawing>
          <wp:anchor distT="0" distB="0" distL="0" distR="0" allowOverlap="1" layoutInCell="1" locked="0" behindDoc="1" simplePos="0" relativeHeight="486496768">
            <wp:simplePos x="0" y="0"/>
            <wp:positionH relativeFrom="page">
              <wp:posOffset>0</wp:posOffset>
            </wp:positionH>
            <wp:positionV relativeFrom="page">
              <wp:posOffset>2410853</wp:posOffset>
            </wp:positionV>
            <wp:extent cx="7766276" cy="603014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66276" cy="6030148"/>
                    </a:xfrm>
                    <a:prstGeom prst="rect">
                      <a:avLst/>
                    </a:prstGeom>
                  </pic:spPr>
                </pic:pic>
              </a:graphicData>
            </a:graphic>
          </wp:anchor>
        </w:drawing>
      </w:r>
      <w:r>
        <w:rPr/>
        <w:pict>
          <v:line style="position:absolute;mso-position-horizontal-relative:page;mso-position-vertical-relative:paragraph;z-index:15732224" from="267.05838pt,40.840401pt" to="267.05838pt,7.199677pt" stroked="true" strokeweight=".240377pt" strokecolor="#000000">
            <v:stroke dashstyle="solid"/>
            <w10:wrap type="none"/>
          </v:line>
        </w:pict>
      </w:r>
      <w:r>
        <w:rPr/>
        <w:pict>
          <v:line style="position:absolute;mso-position-horizontal-relative:page;mso-position-vertical-relative:paragraph;z-index:-16818688" from="378.392792pt,40.119530pt" to="544.252624pt,40.119530pt" stroked="true" strokeweight="1.001212pt" strokecolor="#03235d">
            <v:stroke dashstyle="solid"/>
            <w10:wrap type="none"/>
          </v:line>
        </w:pict>
      </w:r>
      <w:bookmarkStart w:name="OMA COVER A" w:id="1"/>
      <w:bookmarkEnd w:id="1"/>
      <w:r>
        <w:rPr/>
      </w:r>
      <w:r>
        <w:rPr>
          <w:rFonts w:ascii="Arial"/>
          <w:b/>
          <w:color w:val="03235D"/>
          <w:w w:val="105"/>
          <w:sz w:val="80"/>
        </w:rPr>
        <w:t>NEW</w:t>
      </w:r>
      <w:r>
        <w:rPr>
          <w:rFonts w:ascii="Arial"/>
          <w:b/>
          <w:color w:val="03235D"/>
          <w:spacing w:val="48"/>
          <w:w w:val="105"/>
          <w:sz w:val="80"/>
        </w:rPr>
        <w:t> </w:t>
      </w:r>
      <w:r>
        <w:rPr>
          <w:rFonts w:ascii="Arial"/>
          <w:b/>
          <w:color w:val="03235D"/>
          <w:spacing w:val="-2"/>
          <w:w w:val="105"/>
          <w:sz w:val="80"/>
        </w:rPr>
        <w:t>MEXICO</w:t>
      </w:r>
    </w:p>
    <w:p>
      <w:pPr>
        <w:pStyle w:val="Title"/>
      </w:pPr>
      <w:r>
        <w:rPr/>
        <w:pict>
          <v:group style="position:absolute;margin-left:90.381554pt;margin-top:13.349978pt;width:123.1pt;height:54.45pt;mso-position-horizontal-relative:page;mso-position-vertical-relative:paragraph;z-index:15730176" id="docshapegroup1" coordorigin="1808,267" coordsize="2462,1089">
            <v:shape style="position:absolute;left:1807;top:383;width:2462;height:827" type="#_x0000_t75" id="docshape2" stroked="false">
              <v:imagedata r:id="rId6" o:title=""/>
            </v:shape>
            <v:shapetype id="_x0000_t202" o:spt="202" coordsize="21600,21600" path="m,l,21600r21600,l21600,xe">
              <v:stroke joinstyle="miter"/>
              <v:path gradientshapeok="t" o:connecttype="rect"/>
            </v:shapetype>
            <v:shape style="position:absolute;left:1807;top:267;width:2462;height:1089" type="#_x0000_t202" id="docshape3" filled="false" stroked="false">
              <v:textbox inset="0,0,0,0">
                <w:txbxContent>
                  <w:p>
                    <w:pPr>
                      <w:spacing w:before="0"/>
                      <w:ind w:left="36" w:right="0" w:firstLine="0"/>
                      <w:jc w:val="left"/>
                      <w:rPr>
                        <w:rFonts w:ascii="Franklin Gothic Demi"/>
                        <w:b/>
                        <w:sz w:val="96"/>
                      </w:rPr>
                    </w:pPr>
                    <w:r>
                      <w:rPr>
                        <w:rFonts w:ascii="Franklin Gothic Demi"/>
                        <w:b/>
                        <w:color w:val="FFFFFF"/>
                        <w:spacing w:val="-4"/>
                        <w:sz w:val="96"/>
                      </w:rPr>
                      <w:t>OPEN</w:t>
                    </w:r>
                  </w:p>
                </w:txbxContent>
              </v:textbox>
              <w10:wrap type="none"/>
            </v:shape>
            <w10:wrap type="none"/>
          </v:group>
        </w:pict>
      </w:r>
      <w:r>
        <w:rPr/>
        <w:drawing>
          <wp:anchor distT="0" distB="0" distL="0" distR="0" allowOverlap="1" layoutInCell="1" locked="0" behindDoc="1" simplePos="0" relativeHeight="486495744">
            <wp:simplePos x="0" y="0"/>
            <wp:positionH relativeFrom="page">
              <wp:posOffset>2869614</wp:posOffset>
            </wp:positionH>
            <wp:positionV relativeFrom="paragraph">
              <wp:posOffset>243515</wp:posOffset>
            </wp:positionV>
            <wp:extent cx="2906247" cy="524891"/>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2906247" cy="524891"/>
                    </a:xfrm>
                    <a:prstGeom prst="rect">
                      <a:avLst/>
                    </a:prstGeom>
                  </pic:spPr>
                </pic:pic>
              </a:graphicData>
            </a:graphic>
          </wp:anchor>
        </w:drawing>
      </w:r>
      <w:r>
        <w:rPr/>
        <w:pict>
          <v:group style="position:absolute;margin-left:462.484314pt;margin-top:13.349978pt;width:91.35pt;height:54.45pt;mso-position-horizontal-relative:page;mso-position-vertical-relative:paragraph;z-index:15731200" id="docshapegroup4" coordorigin="9250,267" coordsize="1827,1089">
            <v:shape style="position:absolute;left:9249;top:383;width:1827;height:827" type="#_x0000_t75" id="docshape5" stroked="false">
              <v:imagedata r:id="rId8" o:title=""/>
            </v:shape>
            <v:shape style="position:absolute;left:9249;top:267;width:1827;height:1089" type="#_x0000_t202" id="docshape6" filled="false" stroked="false">
              <v:textbox inset="0,0,0,0">
                <w:txbxContent>
                  <w:p>
                    <w:pPr>
                      <w:spacing w:before="0"/>
                      <w:ind w:left="44" w:right="0" w:firstLine="0"/>
                      <w:jc w:val="left"/>
                      <w:rPr>
                        <w:rFonts w:ascii="Franklin Gothic Demi"/>
                        <w:b/>
                        <w:sz w:val="96"/>
                      </w:rPr>
                    </w:pPr>
                    <w:r>
                      <w:rPr>
                        <w:rFonts w:ascii="Franklin Gothic Demi"/>
                        <w:b/>
                        <w:color w:val="FFFFFF"/>
                        <w:spacing w:val="5"/>
                        <w:sz w:val="96"/>
                      </w:rPr>
                      <w:t>ACT</w:t>
                    </w:r>
                  </w:p>
                </w:txbxContent>
              </v:textbox>
              <w10:wrap type="none"/>
            </v:shape>
            <w10:wrap type="none"/>
          </v:group>
        </w:pict>
      </w:r>
      <w:r>
        <w:rPr>
          <w:color w:val="FFFFFF"/>
          <w:spacing w:val="-2"/>
        </w:rPr>
        <w:t>MEETINGS</w:t>
      </w:r>
    </w:p>
    <w:p>
      <w:pPr>
        <w:pStyle w:val="BodyText"/>
        <w:spacing w:before="3"/>
        <w:rPr>
          <w:rFonts w:ascii="Franklin Gothic Demi"/>
          <w:b/>
          <w:sz w:val="14"/>
        </w:rPr>
      </w:pPr>
      <w:r>
        <w:rPr/>
        <w:drawing>
          <wp:anchor distT="0" distB="0" distL="0" distR="0" allowOverlap="1" layoutInCell="1" locked="0" behindDoc="0" simplePos="0" relativeHeight="0">
            <wp:simplePos x="0" y="0"/>
            <wp:positionH relativeFrom="page">
              <wp:posOffset>4228101</wp:posOffset>
            </wp:positionH>
            <wp:positionV relativeFrom="paragraph">
              <wp:posOffset>118546</wp:posOffset>
            </wp:positionV>
            <wp:extent cx="2765520" cy="228600"/>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2765520" cy="228600"/>
                    </a:xfrm>
                    <a:prstGeom prst="rect">
                      <a:avLst/>
                    </a:prstGeom>
                  </pic:spPr>
                </pic:pic>
              </a:graphicData>
            </a:graphic>
          </wp:anchor>
        </w:drawing>
      </w:r>
    </w:p>
    <w:p>
      <w:pPr>
        <w:pStyle w:val="BodyText"/>
        <w:spacing w:before="3"/>
        <w:rPr>
          <w:rFonts w:ascii="Franklin Gothic Demi"/>
          <w:b/>
          <w:sz w:val="26"/>
        </w:rPr>
      </w:pPr>
    </w:p>
    <w:p>
      <w:pPr>
        <w:tabs>
          <w:tab w:pos="3120" w:val="left" w:leader="none"/>
        </w:tabs>
        <w:spacing w:line="20" w:lineRule="exact"/>
        <w:ind w:left="-341" w:right="0" w:firstLine="0"/>
        <w:rPr>
          <w:rFonts w:ascii="Franklin Gothic Demi"/>
          <w:sz w:val="2"/>
        </w:rPr>
      </w:pPr>
      <w:r>
        <w:rPr>
          <w:rFonts w:ascii="Franklin Gothic Demi"/>
          <w:sz w:val="2"/>
        </w:rPr>
        <w:pict>
          <v:group style="width:81.75pt;height:.5pt;mso-position-horizontal-relative:char;mso-position-vertical-relative:line" id="docshapegroup7" coordorigin="0,0" coordsize="1635,10">
            <v:line style="position:absolute" from="0,5" to="1635,5" stroked="true" strokeweight=".480582pt" strokecolor="#000000">
              <v:stroke dashstyle="solid"/>
            </v:line>
          </v:group>
        </w:pict>
      </w:r>
      <w:r>
        <w:rPr>
          <w:rFonts w:ascii="Franklin Gothic Demi"/>
          <w:sz w:val="2"/>
        </w:rPr>
      </w:r>
      <w:r>
        <w:rPr>
          <w:rFonts w:ascii="Franklin Gothic Demi"/>
          <w:sz w:val="2"/>
        </w:rPr>
        <w:tab/>
      </w:r>
      <w:r>
        <w:rPr>
          <w:rFonts w:ascii="Franklin Gothic Demi"/>
          <w:sz w:val="2"/>
        </w:rPr>
        <w:pict>
          <v:group style="width:256.75pt;height:.5pt;mso-position-horizontal-relative:char;mso-position-vertical-relative:line" id="docshapegroup8" coordorigin="0,0" coordsize="5135,10">
            <v:line style="position:absolute" from="0,5" to="5134,5" stroked="true" strokeweight=".480582pt" strokecolor="#000000">
              <v:stroke dashstyle="solid"/>
            </v:line>
          </v:group>
        </w:pict>
      </w:r>
      <w:r>
        <w:rPr>
          <w:rFonts w:ascii="Franklin Gothic Demi"/>
          <w:sz w:val="2"/>
        </w:rPr>
      </w:r>
    </w:p>
    <w:p>
      <w:pPr>
        <w:pStyle w:val="BodyText"/>
        <w:rPr>
          <w:rFonts w:ascii="Franklin Gothic Demi"/>
          <w:b/>
          <w:sz w:val="108"/>
        </w:rPr>
      </w:pPr>
    </w:p>
    <w:p>
      <w:pPr>
        <w:pStyle w:val="BodyText"/>
        <w:rPr>
          <w:rFonts w:ascii="Franklin Gothic Demi"/>
          <w:b/>
          <w:sz w:val="108"/>
        </w:rPr>
      </w:pPr>
    </w:p>
    <w:p>
      <w:pPr>
        <w:pStyle w:val="BodyText"/>
        <w:rPr>
          <w:rFonts w:ascii="Franklin Gothic Demi"/>
          <w:b/>
          <w:sz w:val="108"/>
        </w:rPr>
      </w:pPr>
    </w:p>
    <w:p>
      <w:pPr>
        <w:pStyle w:val="BodyText"/>
        <w:rPr>
          <w:rFonts w:ascii="Franklin Gothic Demi"/>
          <w:b/>
          <w:sz w:val="108"/>
        </w:rPr>
      </w:pPr>
    </w:p>
    <w:p>
      <w:pPr>
        <w:pStyle w:val="BodyText"/>
        <w:rPr>
          <w:rFonts w:ascii="Franklin Gothic Demi"/>
          <w:b/>
          <w:sz w:val="108"/>
        </w:rPr>
      </w:pPr>
    </w:p>
    <w:p>
      <w:pPr>
        <w:pStyle w:val="BodyText"/>
        <w:rPr>
          <w:rFonts w:ascii="Franklin Gothic Demi"/>
          <w:b/>
          <w:sz w:val="108"/>
        </w:rPr>
      </w:pPr>
    </w:p>
    <w:p>
      <w:pPr>
        <w:pStyle w:val="BodyText"/>
        <w:rPr>
          <w:rFonts w:ascii="Franklin Gothic Demi"/>
          <w:b/>
          <w:sz w:val="108"/>
        </w:rPr>
      </w:pPr>
    </w:p>
    <w:p>
      <w:pPr>
        <w:pStyle w:val="BodyText"/>
        <w:spacing w:before="1"/>
        <w:rPr>
          <w:rFonts w:ascii="Franklin Gothic Demi"/>
          <w:b/>
          <w:sz w:val="87"/>
        </w:rPr>
      </w:pPr>
    </w:p>
    <w:p>
      <w:pPr>
        <w:tabs>
          <w:tab w:pos="4486" w:val="left" w:leader="none"/>
          <w:tab w:pos="6870" w:val="left" w:leader="none"/>
        </w:tabs>
        <w:spacing w:before="0"/>
        <w:ind w:left="2777" w:right="0" w:firstLine="0"/>
        <w:jc w:val="left"/>
        <w:rPr>
          <w:rFonts w:ascii="Arial"/>
          <w:sz w:val="32"/>
        </w:rPr>
      </w:pPr>
      <w:r>
        <w:rPr>
          <w:rFonts w:ascii="Arial"/>
          <w:color w:val="4F6028"/>
          <w:w w:val="120"/>
          <w:sz w:val="26"/>
        </w:rPr>
        <w:t>@</w:t>
      </w:r>
      <w:r>
        <w:rPr>
          <w:rFonts w:ascii="Arial"/>
          <w:color w:val="4F6028"/>
          <w:spacing w:val="73"/>
          <w:w w:val="150"/>
          <w:sz w:val="26"/>
        </w:rPr>
        <w:t> </w:t>
      </w:r>
      <w:r>
        <w:rPr>
          <w:rFonts w:ascii="Arial"/>
          <w:color w:val="4F6028"/>
          <w:w w:val="120"/>
          <w:sz w:val="26"/>
        </w:rPr>
        <w:t>[Q)</w:t>
      </w:r>
      <w:r>
        <w:rPr>
          <w:rFonts w:ascii="Arial"/>
          <w:color w:val="4F6028"/>
          <w:spacing w:val="4"/>
          <w:w w:val="120"/>
          <w:sz w:val="26"/>
        </w:rPr>
        <w:t> </w:t>
      </w:r>
      <w:r>
        <w:rPr>
          <w:rFonts w:ascii="Arial"/>
          <w:color w:val="4F6028"/>
          <w:spacing w:val="-5"/>
          <w:w w:val="120"/>
          <w:sz w:val="26"/>
        </w:rPr>
        <w:t>[Q)</w:t>
      </w:r>
      <w:r>
        <w:rPr>
          <w:rFonts w:ascii="Arial"/>
          <w:color w:val="4F6028"/>
          <w:sz w:val="26"/>
        </w:rPr>
        <w:tab/>
      </w:r>
      <w:r>
        <w:rPr>
          <w:rFonts w:ascii="Arial"/>
          <w:color w:val="4F6028"/>
          <w:w w:val="80"/>
          <w:sz w:val="46"/>
        </w:rPr>
        <w:t>w</w:t>
      </w:r>
      <w:r>
        <w:rPr>
          <w:rFonts w:ascii="Arial"/>
          <w:color w:val="4F6028"/>
          <w:spacing w:val="-31"/>
          <w:w w:val="80"/>
          <w:sz w:val="46"/>
        </w:rPr>
        <w:t> </w:t>
      </w:r>
      <w:r>
        <w:rPr>
          <w:rFonts w:ascii="Arial"/>
          <w:color w:val="4F6028"/>
          <w:w w:val="80"/>
          <w:sz w:val="32"/>
        </w:rPr>
        <w:t>tFO=ll</w:t>
      </w:r>
      <w:r>
        <w:rPr>
          <w:rFonts w:ascii="Arial"/>
          <w:color w:val="4F6028"/>
          <w:spacing w:val="-3"/>
          <w:sz w:val="32"/>
        </w:rPr>
        <w:t> </w:t>
      </w:r>
      <w:r>
        <w:rPr>
          <w:rFonts w:ascii="Arial"/>
          <w:color w:val="4F6028"/>
          <w:spacing w:val="-2"/>
          <w:w w:val="80"/>
          <w:sz w:val="26"/>
        </w:rPr>
        <w:t>@lFlF</w:t>
      </w:r>
      <w:r>
        <w:rPr>
          <w:rFonts w:ascii="Arial"/>
          <w:color w:val="4F6028"/>
          <w:sz w:val="26"/>
        </w:rPr>
        <w:tab/>
      </w:r>
      <w:r>
        <w:rPr>
          <w:rFonts w:ascii="Arial"/>
          <w:color w:val="4F6028"/>
          <w:w w:val="95"/>
          <w:sz w:val="26"/>
        </w:rPr>
        <w:t>@lF</w:t>
      </w:r>
      <w:r>
        <w:rPr>
          <w:rFonts w:ascii="Arial"/>
          <w:color w:val="4F6028"/>
          <w:spacing w:val="1"/>
          <w:sz w:val="26"/>
        </w:rPr>
        <w:t> </w:t>
      </w:r>
      <w:r>
        <w:rPr>
          <w:rFonts w:ascii="Arial"/>
          <w:color w:val="4F6028"/>
          <w:spacing w:val="-2"/>
          <w:w w:val="95"/>
          <w:sz w:val="32"/>
        </w:rPr>
        <w:t>tFO=ll</w:t>
      </w:r>
    </w:p>
    <w:p>
      <w:pPr>
        <w:tabs>
          <w:tab w:pos="4123" w:val="left" w:leader="none"/>
          <w:tab w:pos="6112" w:val="left" w:leader="none"/>
          <w:tab w:pos="7698" w:val="left" w:leader="none"/>
        </w:tabs>
        <w:spacing w:before="65"/>
        <w:ind w:left="2790" w:right="0" w:firstLine="0"/>
        <w:jc w:val="left"/>
        <w:rPr>
          <w:rFonts w:ascii="Arial"/>
          <w:sz w:val="26"/>
        </w:rPr>
      </w:pPr>
      <w:r>
        <w:rPr>
          <w:color w:val="4F6028"/>
          <w:spacing w:val="-5"/>
          <w:w w:val="155"/>
          <w:sz w:val="33"/>
        </w:rPr>
        <w:t>\WI</w:t>
      </w:r>
      <w:r>
        <w:rPr>
          <w:color w:val="4F6028"/>
          <w:sz w:val="33"/>
        </w:rPr>
        <w:tab/>
      </w:r>
      <w:r>
        <w:rPr>
          <w:color w:val="4F6028"/>
          <w:w w:val="155"/>
          <w:sz w:val="33"/>
        </w:rPr>
        <w:t>@</w:t>
      </w:r>
      <w:r>
        <w:rPr>
          <w:color w:val="4F6028"/>
          <w:spacing w:val="-40"/>
          <w:w w:val="155"/>
          <w:sz w:val="33"/>
        </w:rPr>
        <w:t> </w:t>
      </w:r>
      <w:r>
        <w:rPr>
          <w:color w:val="4F6028"/>
          <w:spacing w:val="-2"/>
          <w:w w:val="125"/>
          <w:sz w:val="33"/>
        </w:rPr>
        <w:t>ffe\TI@</w:t>
      </w:r>
      <w:r>
        <w:rPr>
          <w:color w:val="4F6028"/>
          <w:sz w:val="33"/>
        </w:rPr>
        <w:tab/>
      </w:r>
      <w:r>
        <w:rPr>
          <w:color w:val="4F6028"/>
          <w:w w:val="115"/>
          <w:sz w:val="33"/>
        </w:rPr>
        <w:t>W</w:t>
      </w:r>
      <w:r>
        <w:rPr>
          <w:color w:val="4F6028"/>
          <w:spacing w:val="-19"/>
          <w:w w:val="115"/>
          <w:sz w:val="33"/>
        </w:rPr>
        <w:t> </w:t>
      </w:r>
      <w:r>
        <w:rPr>
          <w:rFonts w:ascii="Arial"/>
          <w:color w:val="4F6028"/>
          <w:spacing w:val="-10"/>
          <w:w w:val="180"/>
          <w:sz w:val="26"/>
        </w:rPr>
        <w:t>@</w:t>
      </w:r>
      <w:r>
        <w:rPr>
          <w:rFonts w:ascii="Arial"/>
          <w:color w:val="4F6028"/>
          <w:sz w:val="26"/>
        </w:rPr>
        <w:tab/>
      </w:r>
      <w:r>
        <w:rPr>
          <w:rFonts w:ascii="Arial"/>
          <w:color w:val="4F6028"/>
          <w:spacing w:val="-5"/>
          <w:w w:val="180"/>
          <w:sz w:val="26"/>
        </w:rPr>
        <w:t>[L</w:t>
      </w:r>
    </w:p>
    <w:p>
      <w:pPr>
        <w:spacing w:after="0"/>
        <w:jc w:val="left"/>
        <w:rPr>
          <w:rFonts w:ascii="Arial"/>
          <w:sz w:val="26"/>
        </w:rPr>
        <w:sectPr>
          <w:type w:val="continuous"/>
          <w:pgSz w:w="12240" w:h="15840"/>
          <w:pgMar w:top="480" w:bottom="280" w:left="360" w:right="240"/>
        </w:sectPr>
      </w:pPr>
    </w:p>
    <w:p>
      <w:pPr>
        <w:pStyle w:val="BodyText"/>
        <w:spacing w:before="8"/>
        <w:rPr>
          <w:rFonts w:ascii="Arial"/>
          <w:sz w:val="16"/>
        </w:rPr>
      </w:pPr>
    </w:p>
    <w:p>
      <w:pPr>
        <w:spacing w:before="80"/>
        <w:ind w:left="729" w:right="58" w:firstLine="0"/>
        <w:jc w:val="center"/>
        <w:rPr>
          <w:sz w:val="48"/>
        </w:rPr>
      </w:pPr>
      <w:bookmarkStart w:name="2015 OMA Guide forROB1" w:id="2"/>
      <w:bookmarkEnd w:id="2"/>
      <w:r>
        <w:rPr/>
      </w:r>
      <w:bookmarkStart w:name="THE" w:id="3"/>
      <w:bookmarkEnd w:id="3"/>
      <w:r>
        <w:rPr/>
      </w:r>
      <w:r>
        <w:rPr>
          <w:color w:val="231F20"/>
          <w:spacing w:val="-5"/>
          <w:sz w:val="48"/>
        </w:rPr>
        <w:t>THE</w:t>
      </w:r>
    </w:p>
    <w:p>
      <w:pPr>
        <w:spacing w:before="0"/>
        <w:ind w:left="855" w:right="58" w:firstLine="0"/>
        <w:jc w:val="center"/>
        <w:rPr>
          <w:sz w:val="48"/>
        </w:rPr>
      </w:pPr>
      <w:r>
        <w:rPr>
          <w:color w:val="231F20"/>
          <w:sz w:val="48"/>
        </w:rPr>
        <w:t>OPEN</w:t>
      </w:r>
      <w:r>
        <w:rPr>
          <w:color w:val="231F20"/>
          <w:spacing w:val="-16"/>
          <w:sz w:val="48"/>
        </w:rPr>
        <w:t> </w:t>
      </w:r>
      <w:r>
        <w:rPr>
          <w:color w:val="231F20"/>
          <w:sz w:val="48"/>
        </w:rPr>
        <w:t>MEETINGS</w:t>
      </w:r>
      <w:r>
        <w:rPr>
          <w:color w:val="231F20"/>
          <w:spacing w:val="-16"/>
          <w:sz w:val="48"/>
        </w:rPr>
        <w:t> </w:t>
      </w:r>
      <w:r>
        <w:rPr>
          <w:color w:val="231F20"/>
          <w:spacing w:val="-5"/>
          <w:sz w:val="48"/>
        </w:rPr>
        <w:t>ACT</w:t>
      </w:r>
    </w:p>
    <w:p>
      <w:pPr>
        <w:spacing w:before="0"/>
        <w:ind w:left="856" w:right="58" w:firstLine="0"/>
        <w:jc w:val="center"/>
        <w:rPr>
          <w:sz w:val="48"/>
        </w:rPr>
      </w:pPr>
      <w:r>
        <w:rPr>
          <w:color w:val="231F20"/>
          <w:sz w:val="48"/>
        </w:rPr>
        <w:t>NMSA</w:t>
      </w:r>
      <w:r>
        <w:rPr>
          <w:color w:val="231F20"/>
          <w:spacing w:val="-8"/>
          <w:sz w:val="48"/>
        </w:rPr>
        <w:t> </w:t>
      </w:r>
      <w:r>
        <w:rPr>
          <w:color w:val="231F20"/>
          <w:sz w:val="48"/>
        </w:rPr>
        <w:t>1978,</w:t>
      </w:r>
      <w:r>
        <w:rPr>
          <w:color w:val="231F20"/>
          <w:spacing w:val="-6"/>
          <w:sz w:val="48"/>
        </w:rPr>
        <w:t> </w:t>
      </w:r>
      <w:r>
        <w:rPr>
          <w:color w:val="231F20"/>
          <w:sz w:val="48"/>
        </w:rPr>
        <w:t>Chapter</w:t>
      </w:r>
      <w:r>
        <w:rPr>
          <w:color w:val="231F20"/>
          <w:spacing w:val="-7"/>
          <w:sz w:val="48"/>
        </w:rPr>
        <w:t> </w:t>
      </w:r>
      <w:r>
        <w:rPr>
          <w:color w:val="231F20"/>
          <w:sz w:val="48"/>
        </w:rPr>
        <w:t>10,</w:t>
      </w:r>
      <w:r>
        <w:rPr>
          <w:color w:val="231F20"/>
          <w:spacing w:val="-6"/>
          <w:sz w:val="48"/>
        </w:rPr>
        <w:t> </w:t>
      </w:r>
      <w:r>
        <w:rPr>
          <w:color w:val="231F20"/>
          <w:sz w:val="48"/>
        </w:rPr>
        <w:t>Article</w:t>
      </w:r>
      <w:r>
        <w:rPr>
          <w:color w:val="231F20"/>
          <w:spacing w:val="-8"/>
          <w:sz w:val="48"/>
        </w:rPr>
        <w:t> </w:t>
      </w:r>
      <w:r>
        <w:rPr>
          <w:color w:val="231F20"/>
          <w:spacing w:val="-5"/>
          <w:sz w:val="48"/>
        </w:rPr>
        <w:t>15</w:t>
      </w:r>
    </w:p>
    <w:p>
      <w:pPr>
        <w:pStyle w:val="BodyText"/>
        <w:rPr>
          <w:sz w:val="52"/>
        </w:rPr>
      </w:pPr>
    </w:p>
    <w:p>
      <w:pPr>
        <w:pStyle w:val="BodyText"/>
        <w:rPr>
          <w:sz w:val="52"/>
        </w:rPr>
      </w:pPr>
    </w:p>
    <w:p>
      <w:pPr>
        <w:pStyle w:val="BodyText"/>
        <w:spacing w:before="10"/>
        <w:rPr>
          <w:sz w:val="57"/>
        </w:rPr>
      </w:pPr>
    </w:p>
    <w:p>
      <w:pPr>
        <w:spacing w:line="322" w:lineRule="exact" w:before="0"/>
        <w:ind w:left="735" w:right="58" w:firstLine="0"/>
        <w:jc w:val="center"/>
        <w:rPr>
          <w:sz w:val="28"/>
        </w:rPr>
      </w:pPr>
      <w:bookmarkStart w:name="A Compliance Guide for" w:id="4"/>
      <w:bookmarkEnd w:id="4"/>
      <w:r>
        <w:rPr/>
      </w:r>
      <w:r>
        <w:rPr>
          <w:color w:val="231F20"/>
          <w:sz w:val="28"/>
        </w:rPr>
        <w:t>A</w:t>
      </w:r>
      <w:r>
        <w:rPr>
          <w:color w:val="231F20"/>
          <w:spacing w:val="-4"/>
          <w:sz w:val="28"/>
        </w:rPr>
        <w:t> </w:t>
      </w:r>
      <w:r>
        <w:rPr>
          <w:color w:val="231F20"/>
          <w:sz w:val="28"/>
        </w:rPr>
        <w:t>Compliance</w:t>
      </w:r>
      <w:r>
        <w:rPr>
          <w:color w:val="231F20"/>
          <w:spacing w:val="-4"/>
          <w:sz w:val="28"/>
        </w:rPr>
        <w:t> </w:t>
      </w:r>
      <w:r>
        <w:rPr>
          <w:color w:val="231F20"/>
          <w:sz w:val="28"/>
        </w:rPr>
        <w:t>Guide</w:t>
      </w:r>
      <w:r>
        <w:rPr>
          <w:color w:val="231F20"/>
          <w:spacing w:val="-4"/>
          <w:sz w:val="28"/>
        </w:rPr>
        <w:t> </w:t>
      </w:r>
      <w:r>
        <w:rPr>
          <w:color w:val="231F20"/>
          <w:spacing w:val="-5"/>
          <w:sz w:val="28"/>
        </w:rPr>
        <w:t>for</w:t>
      </w:r>
    </w:p>
    <w:p>
      <w:pPr>
        <w:spacing w:line="322" w:lineRule="exact" w:before="0"/>
        <w:ind w:left="732" w:right="58" w:firstLine="0"/>
        <w:jc w:val="center"/>
        <w:rPr>
          <w:sz w:val="28"/>
        </w:rPr>
      </w:pPr>
      <w:r>
        <w:rPr>
          <w:color w:val="231F20"/>
          <w:sz w:val="28"/>
        </w:rPr>
        <w:t>New</w:t>
      </w:r>
      <w:r>
        <w:rPr>
          <w:color w:val="231F20"/>
          <w:spacing w:val="-6"/>
          <w:sz w:val="28"/>
        </w:rPr>
        <w:t> </w:t>
      </w:r>
      <w:r>
        <w:rPr>
          <w:color w:val="231F20"/>
          <w:sz w:val="28"/>
        </w:rPr>
        <w:t>Mexico</w:t>
      </w:r>
      <w:r>
        <w:rPr>
          <w:color w:val="231F20"/>
          <w:spacing w:val="-3"/>
          <w:sz w:val="28"/>
        </w:rPr>
        <w:t> </w:t>
      </w:r>
      <w:r>
        <w:rPr>
          <w:color w:val="231F20"/>
          <w:sz w:val="28"/>
        </w:rPr>
        <w:t>Public</w:t>
      </w:r>
      <w:r>
        <w:rPr>
          <w:color w:val="231F20"/>
          <w:spacing w:val="-6"/>
          <w:sz w:val="28"/>
        </w:rPr>
        <w:t> </w:t>
      </w:r>
      <w:r>
        <w:rPr>
          <w:color w:val="231F20"/>
          <w:sz w:val="28"/>
        </w:rPr>
        <w:t>Officials</w:t>
      </w:r>
      <w:r>
        <w:rPr>
          <w:color w:val="231F20"/>
          <w:spacing w:val="-3"/>
          <w:sz w:val="28"/>
        </w:rPr>
        <w:t> </w:t>
      </w:r>
      <w:r>
        <w:rPr>
          <w:color w:val="231F20"/>
          <w:sz w:val="28"/>
        </w:rPr>
        <w:t>and</w:t>
      </w:r>
      <w:r>
        <w:rPr>
          <w:color w:val="231F20"/>
          <w:spacing w:val="-3"/>
          <w:sz w:val="28"/>
        </w:rPr>
        <w:t> </w:t>
      </w:r>
      <w:r>
        <w:rPr>
          <w:color w:val="231F20"/>
          <w:spacing w:val="-2"/>
          <w:sz w:val="28"/>
        </w:rPr>
        <w:t>Citizens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322" w:lineRule="exact" w:before="253"/>
        <w:ind w:left="733" w:right="58" w:firstLine="0"/>
        <w:jc w:val="center"/>
        <w:rPr>
          <w:sz w:val="28"/>
        </w:rPr>
      </w:pPr>
      <w:bookmarkStart w:name="HECTOR BALDERAS" w:id="5"/>
      <w:bookmarkEnd w:id="5"/>
      <w:r>
        <w:rPr/>
      </w:r>
      <w:r>
        <w:rPr>
          <w:color w:val="231F20"/>
          <w:sz w:val="28"/>
        </w:rPr>
        <w:t>HECTOR</w:t>
      </w:r>
      <w:r>
        <w:rPr>
          <w:color w:val="231F20"/>
          <w:spacing w:val="-10"/>
          <w:sz w:val="28"/>
        </w:rPr>
        <w:t> </w:t>
      </w:r>
      <w:r>
        <w:rPr>
          <w:color w:val="231F20"/>
          <w:spacing w:val="-2"/>
          <w:sz w:val="28"/>
        </w:rPr>
        <w:t>BALDERAS</w:t>
      </w:r>
    </w:p>
    <w:p>
      <w:pPr>
        <w:spacing w:line="322" w:lineRule="exact" w:before="0"/>
        <w:ind w:left="733" w:right="58" w:firstLine="0"/>
        <w:jc w:val="center"/>
        <w:rPr>
          <w:sz w:val="28"/>
        </w:rPr>
      </w:pPr>
      <w:r>
        <w:rPr>
          <w:color w:val="231F20"/>
          <w:sz w:val="28"/>
        </w:rPr>
        <w:t>Attorney</w:t>
      </w:r>
      <w:r>
        <w:rPr>
          <w:color w:val="231F20"/>
          <w:spacing w:val="-8"/>
          <w:sz w:val="28"/>
        </w:rPr>
        <w:t> </w:t>
      </w:r>
      <w:r>
        <w:rPr>
          <w:color w:val="231F20"/>
          <w:spacing w:val="-2"/>
          <w:sz w:val="28"/>
        </w:rPr>
        <w:t>General</w:t>
      </w:r>
    </w:p>
    <w:p>
      <w:pPr>
        <w:pStyle w:val="BodyText"/>
        <w:rPr>
          <w:sz w:val="30"/>
        </w:rPr>
      </w:pPr>
    </w:p>
    <w:p>
      <w:pPr>
        <w:pStyle w:val="BodyText"/>
        <w:rPr>
          <w:sz w:val="30"/>
        </w:rPr>
      </w:pPr>
    </w:p>
    <w:p>
      <w:pPr>
        <w:pStyle w:val="BodyText"/>
        <w:rPr>
          <w:sz w:val="30"/>
        </w:rPr>
      </w:pPr>
    </w:p>
    <w:p>
      <w:pPr>
        <w:pStyle w:val="BodyText"/>
        <w:rPr>
          <w:sz w:val="44"/>
        </w:rPr>
      </w:pPr>
    </w:p>
    <w:p>
      <w:pPr>
        <w:spacing w:line="240" w:lineRule="auto" w:before="0"/>
        <w:ind w:left="575" w:right="900" w:firstLine="0"/>
        <w:jc w:val="both"/>
        <w:rPr>
          <w:sz w:val="28"/>
        </w:rPr>
      </w:pPr>
      <w:r>
        <w:rPr>
          <w:color w:val="231F20"/>
          <w:sz w:val="28"/>
        </w:rPr>
        <w:t>This eighth edition of the Compliance Guide updates the 2010 edition, primarily to reflect a legislative amendment enacted in 2013 that requires a public body to make the agenda</w:t>
      </w:r>
      <w:r>
        <w:rPr>
          <w:color w:val="231F20"/>
          <w:spacing w:val="80"/>
          <w:sz w:val="28"/>
        </w:rPr>
        <w:t> </w:t>
      </w:r>
      <w:r>
        <w:rPr>
          <w:color w:val="231F20"/>
          <w:sz w:val="28"/>
        </w:rPr>
        <w:t>of a regular or special meeting available to the public at least 72 hours in advance of the meeting, and to post meeting agendas on a public body’s website if one is maintained.</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40"/>
        </w:rPr>
      </w:pPr>
    </w:p>
    <w:p>
      <w:pPr>
        <w:pStyle w:val="Heading2"/>
        <w:spacing w:line="319" w:lineRule="exact" w:before="1"/>
        <w:ind w:left="732" w:right="58" w:firstLine="0"/>
        <w:jc w:val="center"/>
      </w:pPr>
      <w:bookmarkStart w:name="Eighth Edition" w:id="6"/>
      <w:bookmarkEnd w:id="6"/>
      <w:r>
        <w:rPr>
          <w:b w:val="0"/>
        </w:rPr>
      </w:r>
      <w:r>
        <w:rPr>
          <w:color w:val="231F20"/>
        </w:rPr>
        <w:t>Eighth</w:t>
      </w:r>
      <w:r>
        <w:rPr>
          <w:color w:val="231F20"/>
          <w:spacing w:val="-2"/>
        </w:rPr>
        <w:t> Edition</w:t>
      </w:r>
    </w:p>
    <w:p>
      <w:pPr>
        <w:spacing w:line="319" w:lineRule="exact" w:before="0"/>
        <w:ind w:left="732" w:right="58" w:firstLine="0"/>
        <w:jc w:val="center"/>
        <w:rPr>
          <w:sz w:val="28"/>
        </w:rPr>
      </w:pPr>
      <w:r>
        <w:rPr>
          <w:color w:val="231F20"/>
          <w:spacing w:val="-4"/>
          <w:sz w:val="28"/>
        </w:rPr>
        <w:t>2015</w:t>
      </w:r>
    </w:p>
    <w:p>
      <w:pPr>
        <w:spacing w:after="0" w:line="319" w:lineRule="exact"/>
        <w:jc w:val="center"/>
        <w:rPr>
          <w:sz w:val="28"/>
        </w:rPr>
        <w:sectPr>
          <w:headerReference w:type="default" r:id="rId10"/>
          <w:footerReference w:type="default" r:id="rId11"/>
          <w:pgSz w:w="12240" w:h="15840"/>
          <w:pgMar w:header="660" w:footer="717" w:top="960" w:bottom="900" w:left="360" w:right="240"/>
          <w:pgNumType w:start="1"/>
        </w:sectPr>
      </w:pPr>
    </w:p>
    <w:p>
      <w:pPr>
        <w:pStyle w:val="BodyText"/>
        <w:spacing w:before="4"/>
        <w:rPr>
          <w:sz w:val="16"/>
        </w:rPr>
      </w:pPr>
    </w:p>
    <w:p>
      <w:pPr>
        <w:spacing w:before="85"/>
        <w:ind w:left="3432" w:right="0" w:firstLine="0"/>
        <w:jc w:val="both"/>
        <w:rPr>
          <w:b/>
          <w:sz w:val="36"/>
        </w:rPr>
      </w:pPr>
      <w:r>
        <w:rPr/>
        <w:drawing>
          <wp:anchor distT="0" distB="0" distL="0" distR="0" allowOverlap="1" layoutInCell="1" locked="0" behindDoc="0" simplePos="0" relativeHeight="15733760">
            <wp:simplePos x="0" y="0"/>
            <wp:positionH relativeFrom="page">
              <wp:posOffset>530224</wp:posOffset>
            </wp:positionH>
            <wp:positionV relativeFrom="paragraph">
              <wp:posOffset>56828</wp:posOffset>
            </wp:positionV>
            <wp:extent cx="1763394" cy="2468879"/>
            <wp:effectExtent l="0" t="0" r="0" b="0"/>
            <wp:wrapNone/>
            <wp:docPr id="7" name="image6.jpeg" descr="Description: C:\Users\thoward\AppData\Local\Temp\Attorney General Balderas-2104 No Logo.jpg"/>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1763394" cy="2468879"/>
                    </a:xfrm>
                    <a:prstGeom prst="rect">
                      <a:avLst/>
                    </a:prstGeom>
                  </pic:spPr>
                </pic:pic>
              </a:graphicData>
            </a:graphic>
          </wp:anchor>
        </w:drawing>
      </w:r>
      <w:bookmarkStart w:name="Our Mission" w:id="7"/>
      <w:bookmarkEnd w:id="7"/>
      <w:r>
        <w:rPr/>
      </w:r>
      <w:r>
        <w:rPr>
          <w:b/>
          <w:sz w:val="36"/>
        </w:rPr>
        <w:t>Our</w:t>
      </w:r>
      <w:r>
        <w:rPr>
          <w:b/>
          <w:spacing w:val="-4"/>
          <w:sz w:val="36"/>
        </w:rPr>
        <w:t> </w:t>
      </w:r>
      <w:r>
        <w:rPr>
          <w:b/>
          <w:spacing w:val="-2"/>
          <w:sz w:val="36"/>
        </w:rPr>
        <w:t>Mission</w:t>
      </w:r>
    </w:p>
    <w:p>
      <w:pPr>
        <w:pStyle w:val="BodyText"/>
        <w:spacing w:before="277"/>
        <w:ind w:left="3432" w:right="114"/>
        <w:jc w:val="both"/>
      </w:pPr>
      <w:r>
        <w:rPr/>
        <w:t>Our mission at the New Mexico Department of Justice is to serve and protect the citizens of New Mexico by honorably carrying out the statutory responsibilities of the Attorney General.</w:t>
      </w:r>
    </w:p>
    <w:p>
      <w:pPr>
        <w:pStyle w:val="BodyText"/>
        <w:spacing w:before="10"/>
      </w:pPr>
    </w:p>
    <w:p>
      <w:pPr>
        <w:spacing w:before="0"/>
        <w:ind w:left="3432" w:right="0" w:firstLine="0"/>
        <w:jc w:val="both"/>
        <w:rPr>
          <w:b/>
          <w:sz w:val="36"/>
        </w:rPr>
      </w:pPr>
      <w:r>
        <w:rPr>
          <w:b/>
          <w:sz w:val="36"/>
        </w:rPr>
        <w:t>Our</w:t>
      </w:r>
      <w:r>
        <w:rPr>
          <w:b/>
          <w:spacing w:val="-4"/>
          <w:sz w:val="36"/>
        </w:rPr>
        <w:t> </w:t>
      </w:r>
      <w:r>
        <w:rPr>
          <w:b/>
          <w:spacing w:val="-2"/>
          <w:sz w:val="36"/>
        </w:rPr>
        <w:t>Vision</w:t>
      </w:r>
    </w:p>
    <w:p>
      <w:pPr>
        <w:pStyle w:val="BodyText"/>
        <w:spacing w:before="274"/>
        <w:ind w:left="3431" w:right="115"/>
        <w:jc w:val="both"/>
      </w:pPr>
      <w:r>
        <w:rPr/>
        <w:t>Our mission is to seek, strengthen and empower partnerships with and among citizens, community and government agencies, law enforcement, and businesses in order to make our community a safer and more prosperous place to live. We must enforce the laws of New Mexico fairly and uniformly to ensure New Mexicans receive justice and equal protection under the law.</w:t>
      </w:r>
    </w:p>
    <w:p>
      <w:pPr>
        <w:pStyle w:val="BodyText"/>
        <w:spacing w:before="7"/>
        <w:rPr>
          <w:sz w:val="16"/>
        </w:rPr>
      </w:pPr>
    </w:p>
    <w:p>
      <w:pPr>
        <w:pStyle w:val="BodyText"/>
        <w:spacing w:line="276" w:lineRule="auto" w:before="90"/>
        <w:ind w:left="475" w:right="118"/>
        <w:jc w:val="both"/>
      </w:pPr>
      <w:r>
        <w:rPr/>
        <w:t>I am pleased to report that we are working hard to make changes necessary to serve and protect the State of New Mexico. I grew up facing many of the hardships that New Mexicans experience every day.</w:t>
      </w:r>
      <w:r>
        <w:rPr>
          <w:spacing w:val="40"/>
        </w:rPr>
        <w:t> </w:t>
      </w:r>
      <w:r>
        <w:rPr/>
        <w:t>It is that shared experience that motivates me to be a fierce advocate and a voice for our communities. My outreach efforts will support long-term goals of improving transparency in government and empowering the citizens of New Mexico.</w:t>
      </w:r>
    </w:p>
    <w:p>
      <w:pPr>
        <w:pStyle w:val="BodyText"/>
        <w:spacing w:line="276" w:lineRule="auto" w:before="202"/>
        <w:ind w:left="475" w:right="113"/>
        <w:jc w:val="both"/>
      </w:pPr>
      <w:r>
        <w:rPr/>
        <w:t>The “Open Meetings Act,” NMSA 1978, Sections 10-15-1 to 10-15-4, is known as a “sunshine law.” Sunshine laws generally require that public business be conducted in full public view, that the actions of public bodies be taken openly, and that the deliberations of public bodies be open to the public. Like you, I strongly support open government, particularly meetings held by public officials to discuss public business.</w:t>
      </w:r>
      <w:r>
        <w:rPr>
          <w:spacing w:val="40"/>
        </w:rPr>
        <w:t> </w:t>
      </w:r>
      <w:r>
        <w:rPr/>
        <w:t>Public access to the proceedings and decision-making processes of governmental boards, agencies and commissions is an essential element of a properly functioning democracy.</w:t>
      </w:r>
      <w:r>
        <w:rPr>
          <w:spacing w:val="80"/>
        </w:rPr>
        <w:t> </w:t>
      </w:r>
      <w:r>
        <w:rPr/>
        <w:t>As Attorney General, I am charged by law with the responsibility</w:t>
      </w:r>
      <w:r>
        <w:rPr>
          <w:spacing w:val="40"/>
        </w:rPr>
        <w:t> </w:t>
      </w:r>
      <w:r>
        <w:rPr/>
        <w:t>to</w:t>
      </w:r>
      <w:r>
        <w:rPr>
          <w:spacing w:val="-2"/>
        </w:rPr>
        <w:t> </w:t>
      </w:r>
      <w:r>
        <w:rPr/>
        <w:t>enforce</w:t>
      </w:r>
      <w:r>
        <w:rPr>
          <w:spacing w:val="-3"/>
        </w:rPr>
        <w:t> </w:t>
      </w:r>
      <w:r>
        <w:rPr/>
        <w:t>the</w:t>
      </w:r>
      <w:r>
        <w:rPr>
          <w:spacing w:val="-3"/>
        </w:rPr>
        <w:t> </w:t>
      </w:r>
      <w:r>
        <w:rPr/>
        <w:t>provisions</w:t>
      </w:r>
      <w:r>
        <w:rPr>
          <w:spacing w:val="-1"/>
        </w:rPr>
        <w:t> </w:t>
      </w:r>
      <w:r>
        <w:rPr/>
        <w:t>of</w:t>
      </w:r>
      <w:r>
        <w:rPr>
          <w:spacing w:val="-2"/>
        </w:rPr>
        <w:t> </w:t>
      </w:r>
      <w:r>
        <w:rPr/>
        <w:t>the</w:t>
      </w:r>
      <w:r>
        <w:rPr>
          <w:spacing w:val="-2"/>
        </w:rPr>
        <w:t> </w:t>
      </w:r>
      <w:r>
        <w:rPr/>
        <w:t>New</w:t>
      </w:r>
      <w:r>
        <w:rPr>
          <w:spacing w:val="-2"/>
        </w:rPr>
        <w:t> </w:t>
      </w:r>
      <w:r>
        <w:rPr/>
        <w:t>Mexico</w:t>
      </w:r>
      <w:r>
        <w:rPr>
          <w:spacing w:val="-1"/>
        </w:rPr>
        <w:t> </w:t>
      </w:r>
      <w:r>
        <w:rPr/>
        <w:t>Open Meetings Act.</w:t>
      </w:r>
      <w:r>
        <w:rPr>
          <w:spacing w:val="40"/>
        </w:rPr>
        <w:t> </w:t>
      </w:r>
      <w:r>
        <w:rPr/>
        <w:t>The</w:t>
      </w:r>
      <w:r>
        <w:rPr>
          <w:spacing w:val="-2"/>
        </w:rPr>
        <w:t> </w:t>
      </w:r>
      <w:r>
        <w:rPr/>
        <w:t>publication</w:t>
      </w:r>
      <w:r>
        <w:rPr>
          <w:spacing w:val="-1"/>
        </w:rPr>
        <w:t> </w:t>
      </w:r>
      <w:r>
        <w:rPr/>
        <w:t>of</w:t>
      </w:r>
      <w:r>
        <w:rPr>
          <w:spacing w:val="-2"/>
        </w:rPr>
        <w:t> </w:t>
      </w:r>
      <w:r>
        <w:rPr/>
        <w:t>this</w:t>
      </w:r>
      <w:r>
        <w:rPr>
          <w:spacing w:val="-1"/>
        </w:rPr>
        <w:t> </w:t>
      </w:r>
      <w:r>
        <w:rPr/>
        <w:t>Guide</w:t>
      </w:r>
      <w:r>
        <w:rPr>
          <w:spacing w:val="-2"/>
        </w:rPr>
        <w:t> </w:t>
      </w:r>
      <w:r>
        <w:rPr/>
        <w:t>is</w:t>
      </w:r>
      <w:r>
        <w:rPr>
          <w:spacing w:val="-1"/>
        </w:rPr>
        <w:t> </w:t>
      </w:r>
      <w:r>
        <w:rPr/>
        <w:t>one</w:t>
      </w:r>
      <w:r>
        <w:rPr>
          <w:spacing w:val="-2"/>
        </w:rPr>
        <w:t> </w:t>
      </w:r>
      <w:r>
        <w:rPr/>
        <w:t>of</w:t>
      </w:r>
      <w:r>
        <w:rPr>
          <w:spacing w:val="-2"/>
        </w:rPr>
        <w:t> </w:t>
      </w:r>
      <w:r>
        <w:rPr/>
        <w:t>the ways to fulfill my office responsibilities as an effective resource for policymakers and the public in order to promote </w:t>
      </w:r>
      <w:r>
        <w:rPr>
          <w:spacing w:val="-2"/>
        </w:rPr>
        <w:t>compliance.</w:t>
      </w:r>
    </w:p>
    <w:p>
      <w:pPr>
        <w:pStyle w:val="BodyText"/>
        <w:spacing w:before="7"/>
        <w:rPr>
          <w:sz w:val="9"/>
        </w:rPr>
      </w:pPr>
      <w:r>
        <w:rPr/>
        <w:drawing>
          <wp:anchor distT="0" distB="0" distL="0" distR="0" allowOverlap="1" layoutInCell="1" locked="0" behindDoc="0" simplePos="0" relativeHeight="9">
            <wp:simplePos x="0" y="0"/>
            <wp:positionH relativeFrom="page">
              <wp:posOffset>530224</wp:posOffset>
            </wp:positionH>
            <wp:positionV relativeFrom="paragraph">
              <wp:posOffset>85401</wp:posOffset>
            </wp:positionV>
            <wp:extent cx="1515938" cy="670560"/>
            <wp:effectExtent l="0" t="0" r="0" b="0"/>
            <wp:wrapTopAndBottom/>
            <wp:docPr id="9" name="image7.jpeg" descr="Description: Hector Signature Blue"/>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1515938" cy="670560"/>
                    </a:xfrm>
                    <a:prstGeom prst="rect">
                      <a:avLst/>
                    </a:prstGeom>
                  </pic:spPr>
                </pic:pic>
              </a:graphicData>
            </a:graphic>
          </wp:anchor>
        </w:drawing>
      </w:r>
    </w:p>
    <w:p>
      <w:pPr>
        <w:spacing w:before="0"/>
        <w:ind w:left="475" w:right="0" w:firstLine="0"/>
        <w:jc w:val="both"/>
        <w:rPr>
          <w:sz w:val="22"/>
        </w:rPr>
      </w:pPr>
      <w:r>
        <w:rPr>
          <w:sz w:val="22"/>
        </w:rPr>
        <w:t>HECTOR</w:t>
      </w:r>
      <w:r>
        <w:rPr>
          <w:spacing w:val="-6"/>
          <w:sz w:val="22"/>
        </w:rPr>
        <w:t> </w:t>
      </w:r>
      <w:r>
        <w:rPr>
          <w:spacing w:val="-2"/>
          <w:sz w:val="22"/>
        </w:rPr>
        <w:t>BALDERAS</w:t>
      </w:r>
    </w:p>
    <w:p>
      <w:pPr>
        <w:spacing w:before="27"/>
        <w:ind w:left="475" w:right="8080" w:firstLine="0"/>
        <w:jc w:val="left"/>
        <w:rPr>
          <w:sz w:val="22"/>
        </w:rPr>
      </w:pPr>
      <w:r>
        <w:rPr>
          <w:sz w:val="22"/>
        </w:rPr>
        <w:t>Attorney</w:t>
      </w:r>
      <w:r>
        <w:rPr>
          <w:spacing w:val="-11"/>
          <w:sz w:val="22"/>
        </w:rPr>
        <w:t> </w:t>
      </w:r>
      <w:r>
        <w:rPr>
          <w:sz w:val="22"/>
        </w:rPr>
        <w:t>General</w:t>
      </w:r>
      <w:r>
        <w:rPr>
          <w:spacing w:val="-7"/>
          <w:sz w:val="22"/>
        </w:rPr>
        <w:t> </w:t>
      </w:r>
      <w:r>
        <w:rPr>
          <w:sz w:val="22"/>
        </w:rPr>
        <w:t>of</w:t>
      </w:r>
      <w:r>
        <w:rPr>
          <w:spacing w:val="-7"/>
          <w:sz w:val="22"/>
        </w:rPr>
        <w:t> </w:t>
      </w:r>
      <w:r>
        <w:rPr>
          <w:sz w:val="22"/>
        </w:rPr>
        <w:t>New</w:t>
      </w:r>
      <w:r>
        <w:rPr>
          <w:spacing w:val="-11"/>
          <w:sz w:val="22"/>
        </w:rPr>
        <w:t> </w:t>
      </w:r>
      <w:r>
        <w:rPr>
          <w:sz w:val="22"/>
        </w:rPr>
        <w:t>Mexico </w:t>
      </w:r>
      <w:r>
        <w:rPr>
          <w:spacing w:val="-4"/>
          <w:sz w:val="22"/>
        </w:rPr>
        <w:t>2015</w:t>
      </w:r>
    </w:p>
    <w:p>
      <w:pPr>
        <w:spacing w:after="0"/>
        <w:jc w:val="left"/>
        <w:rPr>
          <w:sz w:val="22"/>
        </w:rPr>
        <w:sectPr>
          <w:pgSz w:w="12240" w:h="15840"/>
          <w:pgMar w:header="660" w:footer="717" w:top="960" w:bottom="900" w:left="360" w:right="240"/>
        </w:sectPr>
      </w:pPr>
    </w:p>
    <w:p>
      <w:pPr>
        <w:pStyle w:val="BodyText"/>
        <w:rPr>
          <w:sz w:val="20"/>
        </w:rPr>
      </w:pPr>
    </w:p>
    <w:p>
      <w:pPr>
        <w:pStyle w:val="BodyText"/>
        <w:spacing w:before="1"/>
        <w:rPr>
          <w:sz w:val="19"/>
        </w:rPr>
      </w:pPr>
    </w:p>
    <w:p>
      <w:pPr>
        <w:pStyle w:val="Heading1"/>
        <w:ind w:right="58" w:firstLine="0"/>
        <w:jc w:val="center"/>
      </w:pPr>
      <w:bookmarkStart w:name="Table of Contents" w:id="8"/>
      <w:bookmarkEnd w:id="8"/>
      <w:r>
        <w:rPr/>
      </w:r>
      <w:r>
        <w:rPr>
          <w:color w:val="231F20"/>
        </w:rPr>
        <w:t>Table</w:t>
      </w:r>
      <w:r>
        <w:rPr>
          <w:color w:val="231F20"/>
          <w:spacing w:val="-1"/>
        </w:rPr>
        <w:t> </w:t>
      </w:r>
      <w:r>
        <w:rPr>
          <w:color w:val="231F20"/>
        </w:rPr>
        <w:t>of</w:t>
      </w:r>
      <w:r>
        <w:rPr>
          <w:color w:val="231F20"/>
          <w:spacing w:val="-2"/>
        </w:rPr>
        <w:t> Contents</w:t>
      </w:r>
    </w:p>
    <w:sdt>
      <w:sdtPr>
        <w:docPartObj>
          <w:docPartGallery w:val="Table of Contents"/>
          <w:docPartUnique/>
        </w:docPartObj>
      </w:sdtPr>
      <w:sdtEndPr/>
      <w:sdtContent>
        <w:p>
          <w:pPr>
            <w:pStyle w:val="TOC1"/>
            <w:numPr>
              <w:ilvl w:val="0"/>
              <w:numId w:val="1"/>
            </w:numPr>
            <w:tabs>
              <w:tab w:pos="1195" w:val="left" w:leader="none"/>
              <w:tab w:pos="1196" w:val="left" w:leader="none"/>
              <w:tab w:pos="9235" w:val="right" w:leader="dot"/>
            </w:tabs>
            <w:spacing w:line="240" w:lineRule="auto" w:before="234" w:after="0"/>
            <w:ind w:left="1195" w:right="0" w:hanging="642"/>
            <w:jc w:val="left"/>
          </w:pPr>
          <w:hyperlink w:history="true" w:anchor="_TOC_250022">
            <w:r>
              <w:rPr>
                <w:color w:val="231F20"/>
                <w:spacing w:val="-2"/>
              </w:rPr>
              <w:t>Introduction</w:t>
            </w:r>
            <w:r>
              <w:rPr>
                <w:color w:val="231F20"/>
              </w:rPr>
              <w:tab/>
            </w:r>
            <w:r>
              <w:rPr>
                <w:color w:val="231F20"/>
                <w:spacing w:val="-10"/>
              </w:rPr>
              <w:t>1</w:t>
            </w:r>
          </w:hyperlink>
        </w:p>
        <w:p>
          <w:pPr>
            <w:pStyle w:val="TOC1"/>
            <w:numPr>
              <w:ilvl w:val="0"/>
              <w:numId w:val="1"/>
            </w:numPr>
            <w:tabs>
              <w:tab w:pos="1195" w:val="left" w:leader="none"/>
              <w:tab w:pos="1196" w:val="left" w:leader="none"/>
              <w:tab w:pos="9235" w:val="right" w:leader="dot"/>
            </w:tabs>
            <w:spacing w:line="240" w:lineRule="auto" w:before="0" w:after="0"/>
            <w:ind w:left="1195" w:right="0" w:hanging="642"/>
            <w:jc w:val="left"/>
          </w:pPr>
          <w:hyperlink w:history="true" w:anchor="_TOC_250021">
            <w:r>
              <w:rPr>
                <w:color w:val="231F20"/>
              </w:rPr>
              <w:t>Open</w:t>
            </w:r>
            <w:r>
              <w:rPr>
                <w:color w:val="231F20"/>
                <w:spacing w:val="-6"/>
              </w:rPr>
              <w:t> </w:t>
            </w:r>
            <w:r>
              <w:rPr>
                <w:color w:val="231F20"/>
              </w:rPr>
              <w:t>Meetings</w:t>
            </w:r>
            <w:r>
              <w:rPr>
                <w:color w:val="231F20"/>
                <w:spacing w:val="-6"/>
              </w:rPr>
              <w:t> </w:t>
            </w:r>
            <w:r>
              <w:rPr>
                <w:color w:val="231F20"/>
                <w:spacing w:val="-5"/>
              </w:rPr>
              <w:t>Act</w:t>
            </w:r>
            <w:r>
              <w:rPr>
                <w:color w:val="231F20"/>
              </w:rPr>
              <w:tab/>
            </w:r>
            <w:r>
              <w:rPr>
                <w:color w:val="231F20"/>
                <w:spacing w:val="-10"/>
              </w:rPr>
              <w:t>2</w:t>
            </w:r>
          </w:hyperlink>
        </w:p>
        <w:p>
          <w:pPr>
            <w:pStyle w:val="TOC1"/>
            <w:numPr>
              <w:ilvl w:val="0"/>
              <w:numId w:val="1"/>
            </w:numPr>
            <w:tabs>
              <w:tab w:pos="1195" w:val="left" w:leader="none"/>
              <w:tab w:pos="1196" w:val="left" w:leader="none"/>
              <w:tab w:pos="9234" w:val="right" w:leader="dot"/>
            </w:tabs>
            <w:spacing w:line="240" w:lineRule="auto" w:before="0" w:after="0"/>
            <w:ind w:left="1195" w:right="0" w:hanging="642"/>
            <w:jc w:val="left"/>
          </w:pPr>
          <w:hyperlink w:history="true" w:anchor="_TOC_250020">
            <w:r>
              <w:rPr>
                <w:color w:val="231F20"/>
              </w:rPr>
              <w:t>Section</w:t>
            </w:r>
            <w:r>
              <w:rPr>
                <w:color w:val="231F20"/>
                <w:spacing w:val="-4"/>
              </w:rPr>
              <w:t> </w:t>
            </w:r>
            <w:r>
              <w:rPr>
                <w:color w:val="231F20"/>
              </w:rPr>
              <w:t>10-15-1.</w:t>
            </w:r>
            <w:r>
              <w:rPr>
                <w:color w:val="231F20"/>
                <w:spacing w:val="54"/>
              </w:rPr>
              <w:t> </w:t>
            </w:r>
            <w:r>
              <w:rPr>
                <w:color w:val="231F20"/>
              </w:rPr>
              <w:t>Formation</w:t>
            </w:r>
            <w:r>
              <w:rPr>
                <w:color w:val="231F20"/>
                <w:spacing w:val="-4"/>
              </w:rPr>
              <w:t> </w:t>
            </w:r>
            <w:r>
              <w:rPr>
                <w:color w:val="231F20"/>
              </w:rPr>
              <w:t>of</w:t>
            </w:r>
            <w:r>
              <w:rPr>
                <w:color w:val="231F20"/>
                <w:spacing w:val="-2"/>
              </w:rPr>
              <w:t> </w:t>
            </w:r>
            <w:r>
              <w:rPr>
                <w:color w:val="231F20"/>
              </w:rPr>
              <w:t>Public</w:t>
            </w:r>
            <w:r>
              <w:rPr>
                <w:color w:val="231F20"/>
                <w:spacing w:val="-5"/>
              </w:rPr>
              <w:t> </w:t>
            </w:r>
            <w:r>
              <w:rPr>
                <w:color w:val="231F20"/>
                <w:spacing w:val="-2"/>
              </w:rPr>
              <w:t>Policy.</w:t>
            </w:r>
            <w:r>
              <w:rPr>
                <w:color w:val="231F20"/>
              </w:rPr>
              <w:tab/>
            </w:r>
            <w:r>
              <w:rPr>
                <w:color w:val="231F20"/>
                <w:spacing w:val="-10"/>
              </w:rPr>
              <w:t>6</w:t>
            </w:r>
          </w:hyperlink>
        </w:p>
        <w:p>
          <w:pPr>
            <w:pStyle w:val="TOC2"/>
            <w:numPr>
              <w:ilvl w:val="1"/>
              <w:numId w:val="1"/>
            </w:numPr>
            <w:tabs>
              <w:tab w:pos="1488" w:val="left" w:leader="none"/>
              <w:tab w:pos="9242" w:val="right" w:leader="dot"/>
            </w:tabs>
            <w:spacing w:line="240" w:lineRule="auto" w:before="0" w:after="0"/>
            <w:ind w:left="1488" w:right="0" w:hanging="293"/>
            <w:jc w:val="left"/>
          </w:pPr>
          <w:hyperlink w:history="true" w:anchor="_TOC_250019">
            <w:bookmarkStart w:name="A. State Policy on Open Meetings........" w:id="9"/>
            <w:bookmarkEnd w:id="9"/>
            <w:r>
              <w:rPr>
                <w:color w:val="231F20"/>
              </w:rPr>
              <w:t>S</w:t>
            </w:r>
            <w:r>
              <w:rPr>
                <w:color w:val="231F20"/>
              </w:rPr>
              <w:t>tate</w:t>
            </w:r>
            <w:r>
              <w:rPr>
                <w:color w:val="231F20"/>
                <w:spacing w:val="-6"/>
              </w:rPr>
              <w:t> </w:t>
            </w:r>
            <w:r>
              <w:rPr>
                <w:color w:val="231F20"/>
              </w:rPr>
              <w:t>Policy</w:t>
            </w:r>
            <w:r>
              <w:rPr>
                <w:color w:val="231F20"/>
                <w:spacing w:val="-7"/>
              </w:rPr>
              <w:t> </w:t>
            </w:r>
            <w:r>
              <w:rPr>
                <w:color w:val="231F20"/>
              </w:rPr>
              <w:t>on</w:t>
            </w:r>
            <w:r>
              <w:rPr>
                <w:color w:val="231F20"/>
                <w:spacing w:val="-5"/>
              </w:rPr>
              <w:t> </w:t>
            </w:r>
            <w:r>
              <w:rPr>
                <w:color w:val="231F20"/>
              </w:rPr>
              <w:t>Open</w:t>
            </w:r>
            <w:r>
              <w:rPr>
                <w:color w:val="231F20"/>
                <w:spacing w:val="-6"/>
              </w:rPr>
              <w:t> </w:t>
            </w:r>
            <w:r>
              <w:rPr>
                <w:color w:val="231F20"/>
                <w:spacing w:val="-2"/>
              </w:rPr>
              <w:t>Meetings</w:t>
            </w:r>
            <w:r>
              <w:rPr>
                <w:color w:val="231F20"/>
              </w:rPr>
              <w:tab/>
            </w:r>
            <w:r>
              <w:rPr>
                <w:color w:val="231F20"/>
                <w:spacing w:val="-10"/>
              </w:rPr>
              <w:t>6</w:t>
            </w:r>
          </w:hyperlink>
        </w:p>
        <w:p>
          <w:pPr>
            <w:pStyle w:val="TOC2"/>
            <w:numPr>
              <w:ilvl w:val="1"/>
              <w:numId w:val="1"/>
            </w:numPr>
            <w:tabs>
              <w:tab w:pos="1476" w:val="left" w:leader="none"/>
              <w:tab w:pos="9235" w:val="right" w:leader="dot"/>
            </w:tabs>
            <w:spacing w:line="275" w:lineRule="exact" w:before="0" w:after="0"/>
            <w:ind w:left="1476" w:right="0" w:hanging="281"/>
            <w:jc w:val="left"/>
          </w:pPr>
          <w:hyperlink w:history="true" w:anchor="_TOC_250018">
            <w:r>
              <w:rPr>
                <w:color w:val="231F20"/>
              </w:rPr>
              <w:t>Public</w:t>
            </w:r>
            <w:r>
              <w:rPr>
                <w:color w:val="231F20"/>
                <w:spacing w:val="-9"/>
              </w:rPr>
              <w:t> </w:t>
            </w:r>
            <w:r>
              <w:rPr>
                <w:color w:val="231F20"/>
              </w:rPr>
              <w:t>Meetings</w:t>
            </w:r>
            <w:r>
              <w:rPr>
                <w:color w:val="231F20"/>
                <w:spacing w:val="-6"/>
              </w:rPr>
              <w:t> </w:t>
            </w:r>
            <w:r>
              <w:rPr>
                <w:color w:val="231F20"/>
              </w:rPr>
              <w:t>Subject</w:t>
            </w:r>
            <w:r>
              <w:rPr>
                <w:color w:val="231F20"/>
                <w:spacing w:val="-5"/>
              </w:rPr>
              <w:t> </w:t>
            </w:r>
            <w:r>
              <w:rPr>
                <w:color w:val="231F20"/>
              </w:rPr>
              <w:t>to</w:t>
            </w:r>
            <w:r>
              <w:rPr>
                <w:color w:val="231F20"/>
                <w:spacing w:val="-7"/>
              </w:rPr>
              <w:t> </w:t>
            </w:r>
            <w:r>
              <w:rPr>
                <w:color w:val="231F20"/>
              </w:rPr>
              <w:t>the</w:t>
            </w:r>
            <w:r>
              <w:rPr>
                <w:color w:val="231F20"/>
                <w:spacing w:val="-6"/>
              </w:rPr>
              <w:t> </w:t>
            </w:r>
            <w:r>
              <w:rPr>
                <w:color w:val="231F20"/>
                <w:spacing w:val="-5"/>
              </w:rPr>
              <w:t>Act</w:t>
            </w:r>
            <w:r>
              <w:rPr>
                <w:color w:val="231F20"/>
              </w:rPr>
              <w:tab/>
            </w:r>
            <w:r>
              <w:rPr>
                <w:color w:val="231F20"/>
                <w:spacing w:val="-10"/>
              </w:rPr>
              <w:t>7</w:t>
            </w:r>
          </w:hyperlink>
        </w:p>
        <w:p>
          <w:pPr>
            <w:pStyle w:val="TOC3"/>
            <w:numPr>
              <w:ilvl w:val="2"/>
              <w:numId w:val="1"/>
            </w:numPr>
            <w:tabs>
              <w:tab w:pos="2156" w:val="left" w:leader="none"/>
              <w:tab w:pos="9235" w:val="right" w:leader="dot"/>
            </w:tabs>
            <w:spacing w:line="275" w:lineRule="exact" w:before="0" w:after="0"/>
            <w:ind w:left="2155" w:right="0" w:hanging="241"/>
            <w:jc w:val="left"/>
            <w:rPr>
              <w:color w:val="231F20"/>
            </w:rPr>
          </w:pPr>
          <w:r>
            <w:rPr>
              <w:color w:val="231F20"/>
            </w:rPr>
            <w:t>Rolling</w:t>
          </w:r>
          <w:r>
            <w:rPr>
              <w:color w:val="231F20"/>
              <w:spacing w:val="-5"/>
            </w:rPr>
            <w:t> </w:t>
          </w:r>
          <w:r>
            <w:rPr>
              <w:color w:val="231F20"/>
              <w:spacing w:val="-2"/>
            </w:rPr>
            <w:t>Quorums</w:t>
          </w:r>
          <w:r>
            <w:rPr>
              <w:color w:val="231F20"/>
            </w:rPr>
            <w:tab/>
          </w:r>
          <w:r>
            <w:rPr>
              <w:color w:val="231F20"/>
              <w:spacing w:val="-10"/>
            </w:rPr>
            <w:t>7</w:t>
          </w:r>
        </w:p>
        <w:p>
          <w:pPr>
            <w:pStyle w:val="TOC3"/>
            <w:numPr>
              <w:ilvl w:val="2"/>
              <w:numId w:val="1"/>
            </w:numPr>
            <w:tabs>
              <w:tab w:pos="2156" w:val="left" w:leader="none"/>
              <w:tab w:pos="9235" w:val="right" w:leader="dot"/>
            </w:tabs>
            <w:spacing w:line="240" w:lineRule="auto" w:before="0" w:after="0"/>
            <w:ind w:left="2155" w:right="0" w:hanging="241"/>
            <w:jc w:val="left"/>
            <w:rPr>
              <w:color w:val="231F20"/>
            </w:rPr>
          </w:pPr>
          <w:r>
            <w:rPr>
              <w:color w:val="231F20"/>
            </w:rPr>
            <w:t>Policymaking</w:t>
          </w:r>
          <w:r>
            <w:rPr>
              <w:color w:val="231F20"/>
              <w:spacing w:val="-10"/>
            </w:rPr>
            <w:t> </w:t>
          </w:r>
          <w:r>
            <w:rPr>
              <w:color w:val="231F20"/>
              <w:spacing w:val="-2"/>
            </w:rPr>
            <w:t>Bodies</w:t>
          </w:r>
          <w:r>
            <w:rPr>
              <w:color w:val="231F20"/>
            </w:rPr>
            <w:tab/>
          </w:r>
          <w:r>
            <w:rPr>
              <w:color w:val="231F20"/>
              <w:spacing w:val="-10"/>
            </w:rPr>
            <w:t>8</w:t>
          </w:r>
        </w:p>
        <w:p>
          <w:pPr>
            <w:pStyle w:val="TOC2"/>
            <w:numPr>
              <w:ilvl w:val="1"/>
              <w:numId w:val="1"/>
            </w:numPr>
            <w:tabs>
              <w:tab w:pos="1488" w:val="left" w:leader="none"/>
              <w:tab w:pos="9342" w:val="right" w:leader="dot"/>
            </w:tabs>
            <w:spacing w:line="240" w:lineRule="auto" w:before="0" w:after="0"/>
            <w:ind w:left="1488" w:right="0" w:hanging="293"/>
            <w:jc w:val="left"/>
          </w:pPr>
          <w:hyperlink w:history="true" w:anchor="_TOC_250017">
            <w:bookmarkStart w:name="C. Telephone Conferences................" w:id="10"/>
            <w:bookmarkEnd w:id="10"/>
            <w:r>
              <w:rPr>
                <w:color w:val="231F20"/>
              </w:rPr>
              <w:t>T</w:t>
            </w:r>
            <w:r>
              <w:rPr>
                <w:color w:val="231F20"/>
              </w:rPr>
              <w:t>elephone</w:t>
            </w:r>
            <w:r>
              <w:rPr>
                <w:color w:val="231F20"/>
                <w:spacing w:val="-9"/>
              </w:rPr>
              <w:t> </w:t>
            </w:r>
            <w:r>
              <w:rPr>
                <w:color w:val="231F20"/>
                <w:spacing w:val="-2"/>
              </w:rPr>
              <w:t>Conferences</w:t>
            </w:r>
            <w:r>
              <w:rPr>
                <w:color w:val="231F20"/>
              </w:rPr>
              <w:tab/>
            </w:r>
            <w:r>
              <w:rPr>
                <w:color w:val="231F20"/>
                <w:spacing w:val="-5"/>
              </w:rPr>
              <w:t>11</w:t>
            </w:r>
          </w:hyperlink>
        </w:p>
        <w:p>
          <w:pPr>
            <w:pStyle w:val="TOC2"/>
            <w:numPr>
              <w:ilvl w:val="1"/>
              <w:numId w:val="1"/>
            </w:numPr>
            <w:tabs>
              <w:tab w:pos="1488" w:val="left" w:leader="none"/>
              <w:tab w:pos="9340" w:val="right" w:leader="dot"/>
            </w:tabs>
            <w:spacing w:line="240" w:lineRule="auto" w:before="0" w:after="0"/>
            <w:ind w:left="1488" w:right="0" w:hanging="293"/>
            <w:jc w:val="left"/>
          </w:pPr>
          <w:hyperlink w:history="true" w:anchor="_TOC_250016">
            <w:r>
              <w:rPr>
                <w:color w:val="231F20"/>
              </w:rPr>
              <w:t>Notice</w:t>
            </w:r>
            <w:r>
              <w:rPr>
                <w:color w:val="231F20"/>
                <w:spacing w:val="-10"/>
              </w:rPr>
              <w:t> </w:t>
            </w:r>
            <w:r>
              <w:rPr>
                <w:color w:val="231F20"/>
                <w:spacing w:val="-2"/>
              </w:rPr>
              <w:t>Requirements</w:t>
            </w:r>
            <w:r>
              <w:rPr>
                <w:color w:val="231F20"/>
              </w:rPr>
              <w:tab/>
            </w:r>
            <w:r>
              <w:rPr>
                <w:color w:val="231F20"/>
                <w:spacing w:val="-5"/>
              </w:rPr>
              <w:t>12</w:t>
            </w:r>
          </w:hyperlink>
        </w:p>
        <w:p>
          <w:pPr>
            <w:pStyle w:val="TOC2"/>
            <w:numPr>
              <w:ilvl w:val="1"/>
              <w:numId w:val="1"/>
            </w:numPr>
            <w:tabs>
              <w:tab w:pos="1476" w:val="left" w:leader="none"/>
              <w:tab w:pos="9347" w:val="right" w:leader="dot"/>
            </w:tabs>
            <w:spacing w:line="240" w:lineRule="auto" w:before="0" w:after="0"/>
            <w:ind w:left="1476" w:right="0" w:hanging="281"/>
            <w:jc w:val="left"/>
          </w:pPr>
          <w:hyperlink w:history="true" w:anchor="_TOC_250015">
            <w:r>
              <w:rPr>
                <w:color w:val="231F20"/>
              </w:rPr>
              <w:t>Reconvened</w:t>
            </w:r>
            <w:r>
              <w:rPr>
                <w:color w:val="231F20"/>
                <w:spacing w:val="-12"/>
              </w:rPr>
              <w:t> </w:t>
            </w:r>
            <w:r>
              <w:rPr>
                <w:color w:val="231F20"/>
                <w:spacing w:val="-2"/>
              </w:rPr>
              <w:t>Meetings</w:t>
            </w:r>
            <w:r>
              <w:rPr>
                <w:color w:val="231F20"/>
              </w:rPr>
              <w:tab/>
            </w:r>
            <w:r>
              <w:rPr>
                <w:color w:val="231F20"/>
                <w:spacing w:val="-7"/>
              </w:rPr>
              <w:t>15</w:t>
            </w:r>
          </w:hyperlink>
        </w:p>
        <w:p>
          <w:pPr>
            <w:pStyle w:val="TOC2"/>
            <w:numPr>
              <w:ilvl w:val="1"/>
              <w:numId w:val="1"/>
            </w:numPr>
            <w:tabs>
              <w:tab w:pos="1460" w:val="left" w:leader="none"/>
              <w:tab w:pos="9328" w:val="right" w:leader="dot"/>
            </w:tabs>
            <w:spacing w:line="240" w:lineRule="auto" w:before="0" w:after="0"/>
            <w:ind w:left="1459" w:right="0" w:hanging="265"/>
            <w:jc w:val="left"/>
          </w:pPr>
          <w:hyperlink w:history="true" w:anchor="_TOC_250014">
            <w:r>
              <w:rPr>
                <w:color w:val="231F20"/>
                <w:spacing w:val="-2"/>
              </w:rPr>
              <w:t>Agenda.</w:t>
            </w:r>
            <w:r>
              <w:rPr>
                <w:color w:val="231F20"/>
              </w:rPr>
              <w:tab/>
            </w:r>
            <w:r>
              <w:rPr>
                <w:color w:val="231F20"/>
                <w:spacing w:val="-5"/>
              </w:rPr>
              <w:t>16</w:t>
            </w:r>
          </w:hyperlink>
        </w:p>
        <w:p>
          <w:pPr>
            <w:pStyle w:val="TOC3"/>
            <w:numPr>
              <w:ilvl w:val="2"/>
              <w:numId w:val="1"/>
            </w:numPr>
            <w:tabs>
              <w:tab w:pos="2156" w:val="left" w:leader="none"/>
              <w:tab w:pos="9342" w:val="right" w:leader="dot"/>
            </w:tabs>
            <w:spacing w:line="240" w:lineRule="auto" w:before="0" w:after="0"/>
            <w:ind w:left="2155" w:right="0" w:hanging="241"/>
            <w:jc w:val="left"/>
            <w:rPr>
              <w:color w:val="231F20"/>
            </w:rPr>
          </w:pPr>
          <w:r>
            <w:rPr>
              <w:color w:val="231F20"/>
            </w:rPr>
            <w:t>Seventy-Two</w:t>
          </w:r>
          <w:r>
            <w:rPr>
              <w:color w:val="231F20"/>
              <w:spacing w:val="-8"/>
            </w:rPr>
            <w:t> </w:t>
          </w:r>
          <w:r>
            <w:rPr>
              <w:color w:val="231F20"/>
            </w:rPr>
            <w:t>Hour</w:t>
          </w:r>
          <w:r>
            <w:rPr>
              <w:color w:val="231F20"/>
              <w:spacing w:val="-8"/>
            </w:rPr>
            <w:t> </w:t>
          </w:r>
          <w:r>
            <w:rPr>
              <w:color w:val="231F20"/>
              <w:spacing w:val="-2"/>
            </w:rPr>
            <w:t>Requirement</w:t>
          </w:r>
          <w:r>
            <w:rPr>
              <w:color w:val="231F20"/>
            </w:rPr>
            <w:tab/>
          </w:r>
          <w:r>
            <w:rPr>
              <w:color w:val="231F20"/>
              <w:spacing w:val="-5"/>
            </w:rPr>
            <w:t>16</w:t>
          </w:r>
        </w:p>
        <w:p>
          <w:pPr>
            <w:pStyle w:val="TOC3"/>
            <w:numPr>
              <w:ilvl w:val="2"/>
              <w:numId w:val="1"/>
            </w:numPr>
            <w:tabs>
              <w:tab w:pos="2156" w:val="left" w:leader="none"/>
              <w:tab w:pos="9367" w:val="right" w:leader="dot"/>
            </w:tabs>
            <w:spacing w:line="240" w:lineRule="auto" w:before="0" w:after="0"/>
            <w:ind w:left="2155" w:right="0" w:hanging="241"/>
            <w:jc w:val="left"/>
            <w:rPr>
              <w:color w:val="231F20"/>
            </w:rPr>
          </w:pPr>
          <w:r>
            <w:rPr>
              <w:color w:val="231F20"/>
            </w:rPr>
            <w:t>Action</w:t>
          </w:r>
          <w:r>
            <w:rPr>
              <w:color w:val="231F20"/>
              <w:spacing w:val="-6"/>
            </w:rPr>
            <w:t> </w:t>
          </w:r>
          <w:r>
            <w:rPr>
              <w:color w:val="231F20"/>
            </w:rPr>
            <w:t>on</w:t>
          </w:r>
          <w:r>
            <w:rPr>
              <w:color w:val="231F20"/>
              <w:spacing w:val="-5"/>
            </w:rPr>
            <w:t> </w:t>
          </w:r>
          <w:r>
            <w:rPr>
              <w:color w:val="231F20"/>
            </w:rPr>
            <w:t>Agenda</w:t>
          </w:r>
          <w:r>
            <w:rPr>
              <w:color w:val="231F20"/>
              <w:spacing w:val="-6"/>
            </w:rPr>
            <w:t> </w:t>
          </w:r>
          <w:r>
            <w:rPr>
              <w:color w:val="231F20"/>
              <w:spacing w:val="-4"/>
            </w:rPr>
            <w:t>Items</w:t>
          </w:r>
          <w:r>
            <w:rPr>
              <w:color w:val="231F20"/>
            </w:rPr>
            <w:tab/>
          </w:r>
          <w:r>
            <w:rPr>
              <w:color w:val="231F20"/>
              <w:spacing w:val="-5"/>
            </w:rPr>
            <w:t>17</w:t>
          </w:r>
        </w:p>
        <w:p>
          <w:pPr>
            <w:pStyle w:val="TOC3"/>
            <w:numPr>
              <w:ilvl w:val="2"/>
              <w:numId w:val="1"/>
            </w:numPr>
            <w:tabs>
              <w:tab w:pos="2156" w:val="left" w:leader="none"/>
              <w:tab w:pos="9354" w:val="right" w:leader="dot"/>
            </w:tabs>
            <w:spacing w:line="240" w:lineRule="auto" w:before="0" w:after="0"/>
            <w:ind w:left="2155" w:right="0" w:hanging="241"/>
            <w:jc w:val="left"/>
            <w:rPr>
              <w:color w:val="231F20"/>
            </w:rPr>
          </w:pPr>
          <w:r>
            <w:rPr>
              <w:color w:val="231F20"/>
            </w:rPr>
            <w:t>Specific</w:t>
          </w:r>
          <w:r>
            <w:rPr>
              <w:color w:val="231F20"/>
              <w:spacing w:val="-6"/>
            </w:rPr>
            <w:t> </w:t>
          </w:r>
          <w:r>
            <w:rPr>
              <w:color w:val="231F20"/>
            </w:rPr>
            <w:t>Agenda</w:t>
          </w:r>
          <w:r>
            <w:rPr>
              <w:color w:val="231F20"/>
              <w:spacing w:val="-6"/>
            </w:rPr>
            <w:t> </w:t>
          </w:r>
          <w:r>
            <w:rPr>
              <w:color w:val="231F20"/>
              <w:spacing w:val="-4"/>
            </w:rPr>
            <w:t>Items</w:t>
          </w:r>
          <w:r>
            <w:rPr>
              <w:color w:val="231F20"/>
            </w:rPr>
            <w:tab/>
          </w:r>
          <w:r>
            <w:rPr>
              <w:color w:val="231F20"/>
              <w:spacing w:val="-5"/>
            </w:rPr>
            <w:t>17</w:t>
          </w:r>
        </w:p>
        <w:p>
          <w:pPr>
            <w:pStyle w:val="TOC2"/>
            <w:numPr>
              <w:ilvl w:val="1"/>
              <w:numId w:val="1"/>
            </w:numPr>
            <w:tabs>
              <w:tab w:pos="1500" w:val="left" w:leader="none"/>
              <w:tab w:pos="9362" w:val="right" w:leader="dot"/>
            </w:tabs>
            <w:spacing w:line="240" w:lineRule="auto" w:before="0" w:after="0"/>
            <w:ind w:left="1499" w:right="0" w:hanging="305"/>
            <w:jc w:val="left"/>
          </w:pPr>
          <w:hyperlink w:history="true" w:anchor="_TOC_250013">
            <w:r>
              <w:rPr>
                <w:color w:val="231F20"/>
                <w:spacing w:val="-2"/>
              </w:rPr>
              <w:t>Minutes</w:t>
            </w:r>
            <w:r>
              <w:rPr>
                <w:color w:val="231F20"/>
              </w:rPr>
              <w:tab/>
            </w:r>
            <w:r>
              <w:rPr>
                <w:color w:val="231F20"/>
                <w:spacing w:val="-5"/>
              </w:rPr>
              <w:t>18</w:t>
            </w:r>
          </w:hyperlink>
        </w:p>
        <w:p>
          <w:pPr>
            <w:pStyle w:val="TOC2"/>
            <w:numPr>
              <w:ilvl w:val="1"/>
              <w:numId w:val="1"/>
            </w:numPr>
            <w:tabs>
              <w:tab w:pos="1503" w:val="left" w:leader="none"/>
              <w:tab w:pos="9355" w:val="right" w:leader="dot"/>
            </w:tabs>
            <w:spacing w:line="274" w:lineRule="exact" w:before="0" w:after="0"/>
            <w:ind w:left="1502" w:right="0" w:hanging="308"/>
            <w:jc w:val="left"/>
          </w:pPr>
          <w:hyperlink w:history="true" w:anchor="_TOC_250012">
            <w:r>
              <w:rPr>
                <w:color w:val="231F20"/>
                <w:spacing w:val="-2"/>
              </w:rPr>
              <w:t>Exceptions</w:t>
            </w:r>
            <w:r>
              <w:rPr>
                <w:color w:val="231F20"/>
              </w:rPr>
              <w:tab/>
            </w:r>
            <w:r>
              <w:rPr>
                <w:color w:val="231F20"/>
                <w:spacing w:val="-5"/>
              </w:rPr>
              <w:t>19</w:t>
            </w:r>
          </w:hyperlink>
        </w:p>
        <w:p>
          <w:pPr>
            <w:pStyle w:val="TOC3"/>
            <w:numPr>
              <w:ilvl w:val="2"/>
              <w:numId w:val="1"/>
            </w:numPr>
            <w:tabs>
              <w:tab w:pos="2156" w:val="left" w:leader="none"/>
              <w:tab w:pos="9381" w:val="right" w:leader="dot"/>
            </w:tabs>
            <w:spacing w:line="274" w:lineRule="exact" w:before="0" w:after="0"/>
            <w:ind w:left="2155" w:right="0" w:hanging="241"/>
            <w:jc w:val="left"/>
          </w:pPr>
          <w:r>
            <w:rPr>
              <w:color w:val="231F20"/>
              <w:spacing w:val="-2"/>
            </w:rPr>
            <w:t>Licensing.</w:t>
          </w:r>
          <w:r>
            <w:rPr>
              <w:color w:val="231F20"/>
            </w:rPr>
            <w:tab/>
          </w:r>
          <w:r>
            <w:rPr>
              <w:color w:val="231F20"/>
              <w:spacing w:val="-5"/>
            </w:rPr>
            <w:t>20</w:t>
          </w:r>
        </w:p>
        <w:p>
          <w:pPr>
            <w:pStyle w:val="TOC3"/>
            <w:numPr>
              <w:ilvl w:val="2"/>
              <w:numId w:val="1"/>
            </w:numPr>
            <w:tabs>
              <w:tab w:pos="2156" w:val="left" w:leader="none"/>
              <w:tab w:pos="9352" w:val="right" w:leader="dot"/>
            </w:tabs>
            <w:spacing w:line="240" w:lineRule="auto" w:before="5" w:after="0"/>
            <w:ind w:left="2155" w:right="0" w:hanging="241"/>
            <w:jc w:val="left"/>
            <w:rPr>
              <w:color w:val="231F20"/>
            </w:rPr>
          </w:pPr>
          <w:r>
            <w:rPr>
              <w:color w:val="231F20"/>
            </w:rPr>
            <w:t>Limited</w:t>
          </w:r>
          <w:r>
            <w:rPr>
              <w:color w:val="231F20"/>
              <w:spacing w:val="-6"/>
            </w:rPr>
            <w:t> </w:t>
          </w:r>
          <w:r>
            <w:rPr>
              <w:color w:val="231F20"/>
            </w:rPr>
            <w:t>Personnel</w:t>
          </w:r>
          <w:r>
            <w:rPr>
              <w:color w:val="231F20"/>
              <w:spacing w:val="-9"/>
            </w:rPr>
            <w:t> </w:t>
          </w:r>
          <w:r>
            <w:rPr>
              <w:color w:val="231F20"/>
              <w:spacing w:val="-2"/>
            </w:rPr>
            <w:t>Matters</w:t>
          </w:r>
          <w:r>
            <w:rPr>
              <w:color w:val="231F20"/>
            </w:rPr>
            <w:tab/>
          </w:r>
          <w:r>
            <w:rPr>
              <w:color w:val="231F20"/>
              <w:spacing w:val="-5"/>
            </w:rPr>
            <w:t>21</w:t>
          </w:r>
        </w:p>
        <w:p>
          <w:pPr>
            <w:pStyle w:val="TOC3"/>
            <w:numPr>
              <w:ilvl w:val="2"/>
              <w:numId w:val="1"/>
            </w:numPr>
            <w:tabs>
              <w:tab w:pos="2156" w:val="left" w:leader="none"/>
              <w:tab w:pos="9388" w:val="right" w:leader="dot"/>
            </w:tabs>
            <w:spacing w:line="240" w:lineRule="auto" w:before="0" w:after="0"/>
            <w:ind w:left="2155" w:right="0" w:hanging="241"/>
            <w:jc w:val="left"/>
            <w:rPr>
              <w:color w:val="231F20"/>
            </w:rPr>
          </w:pPr>
          <w:r>
            <w:rPr>
              <w:color w:val="231F20"/>
              <w:spacing w:val="-2"/>
            </w:rPr>
            <w:t>Administrative</w:t>
          </w:r>
          <w:r>
            <w:rPr>
              <w:color w:val="231F20"/>
              <w:spacing w:val="9"/>
            </w:rPr>
            <w:t> </w:t>
          </w:r>
          <w:r>
            <w:rPr>
              <w:color w:val="231F20"/>
              <w:spacing w:val="-2"/>
            </w:rPr>
            <w:t>Adjudicatory</w:t>
          </w:r>
          <w:r>
            <w:rPr>
              <w:color w:val="231F20"/>
              <w:spacing w:val="9"/>
            </w:rPr>
            <w:t> </w:t>
          </w:r>
          <w:r>
            <w:rPr>
              <w:color w:val="231F20"/>
              <w:spacing w:val="-2"/>
            </w:rPr>
            <w:t>Deliberations</w:t>
          </w:r>
          <w:r>
            <w:rPr>
              <w:color w:val="231F20"/>
            </w:rPr>
            <w:tab/>
          </w:r>
          <w:r>
            <w:rPr>
              <w:color w:val="231F20"/>
              <w:spacing w:val="-5"/>
            </w:rPr>
            <w:t>23</w:t>
          </w:r>
        </w:p>
        <w:p>
          <w:pPr>
            <w:pStyle w:val="TOC3"/>
            <w:numPr>
              <w:ilvl w:val="2"/>
              <w:numId w:val="1"/>
            </w:numPr>
            <w:tabs>
              <w:tab w:pos="2156" w:val="left" w:leader="none"/>
              <w:tab w:pos="9354" w:val="right" w:leader="dot"/>
            </w:tabs>
            <w:spacing w:line="240" w:lineRule="auto" w:before="0" w:after="0"/>
            <w:ind w:left="2155" w:right="0" w:hanging="241"/>
            <w:jc w:val="left"/>
            <w:rPr>
              <w:color w:val="231F20"/>
            </w:rPr>
          </w:pPr>
          <w:r>
            <w:rPr>
              <w:color w:val="231F20"/>
            </w:rPr>
            <w:t>Personally</w:t>
          </w:r>
          <w:r>
            <w:rPr>
              <w:color w:val="231F20"/>
              <w:spacing w:val="-11"/>
            </w:rPr>
            <w:t> </w:t>
          </w:r>
          <w:r>
            <w:rPr>
              <w:color w:val="231F20"/>
            </w:rPr>
            <w:t>Identifiable</w:t>
          </w:r>
          <w:r>
            <w:rPr>
              <w:color w:val="231F20"/>
              <w:spacing w:val="-11"/>
            </w:rPr>
            <w:t> </w:t>
          </w:r>
          <w:r>
            <w:rPr>
              <w:color w:val="231F20"/>
            </w:rPr>
            <w:t>Student</w:t>
          </w:r>
          <w:r>
            <w:rPr>
              <w:color w:val="231F20"/>
              <w:spacing w:val="-12"/>
            </w:rPr>
            <w:t> </w:t>
          </w:r>
          <w:r>
            <w:rPr>
              <w:color w:val="231F20"/>
              <w:spacing w:val="-2"/>
            </w:rPr>
            <w:t>Information</w:t>
          </w:r>
          <w:r>
            <w:rPr>
              <w:color w:val="231F20"/>
            </w:rPr>
            <w:tab/>
          </w:r>
          <w:r>
            <w:rPr>
              <w:color w:val="231F20"/>
              <w:spacing w:val="-5"/>
            </w:rPr>
            <w:t>24</w:t>
          </w:r>
        </w:p>
        <w:p>
          <w:pPr>
            <w:pStyle w:val="TOC3"/>
            <w:numPr>
              <w:ilvl w:val="2"/>
              <w:numId w:val="1"/>
            </w:numPr>
            <w:tabs>
              <w:tab w:pos="2156" w:val="left" w:leader="none"/>
              <w:tab w:pos="9354" w:val="right" w:leader="dot"/>
            </w:tabs>
            <w:spacing w:line="240" w:lineRule="auto" w:before="0" w:after="0"/>
            <w:ind w:left="2155" w:right="0" w:hanging="241"/>
            <w:jc w:val="left"/>
            <w:rPr>
              <w:color w:val="231F20"/>
            </w:rPr>
          </w:pPr>
          <w:r>
            <w:rPr>
              <w:color w:val="231F20"/>
            </w:rPr>
            <w:t>Collective</w:t>
          </w:r>
          <w:r>
            <w:rPr>
              <w:color w:val="231F20"/>
              <w:spacing w:val="-7"/>
            </w:rPr>
            <w:t> </w:t>
          </w:r>
          <w:r>
            <w:rPr>
              <w:color w:val="231F20"/>
              <w:spacing w:val="-2"/>
            </w:rPr>
            <w:t>Bargaining.</w:t>
          </w:r>
          <w:r>
            <w:rPr>
              <w:color w:val="231F20"/>
            </w:rPr>
            <w:tab/>
          </w:r>
          <w:r>
            <w:rPr>
              <w:color w:val="231F20"/>
              <w:spacing w:val="-5"/>
            </w:rPr>
            <w:t>25</w:t>
          </w:r>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rPr>
            <w:t>Certain</w:t>
          </w:r>
          <w:r>
            <w:rPr>
              <w:color w:val="231F20"/>
              <w:spacing w:val="-5"/>
            </w:rPr>
            <w:t> </w:t>
          </w:r>
          <w:r>
            <w:rPr>
              <w:color w:val="231F20"/>
              <w:spacing w:val="-2"/>
            </w:rPr>
            <w:t>Purchases</w:t>
          </w:r>
          <w:r>
            <w:rPr>
              <w:color w:val="231F20"/>
            </w:rPr>
            <w:tab/>
          </w:r>
          <w:r>
            <w:rPr>
              <w:color w:val="231F20"/>
              <w:spacing w:val="-5"/>
            </w:rPr>
            <w:t>26</w:t>
          </w:r>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spacing w:val="-2"/>
            </w:rPr>
            <w:t>Litigation</w:t>
          </w:r>
          <w:r>
            <w:rPr>
              <w:color w:val="231F20"/>
            </w:rPr>
            <w:tab/>
          </w:r>
          <w:r>
            <w:rPr>
              <w:color w:val="231F20"/>
              <w:spacing w:val="-5"/>
            </w:rPr>
            <w:t>28</w:t>
          </w:r>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rPr>
            <w:t>Real</w:t>
          </w:r>
          <w:r>
            <w:rPr>
              <w:color w:val="231F20"/>
              <w:spacing w:val="-4"/>
            </w:rPr>
            <w:t> </w:t>
          </w:r>
          <w:r>
            <w:rPr>
              <w:color w:val="231F20"/>
            </w:rPr>
            <w:t>Property</w:t>
          </w:r>
          <w:r>
            <w:rPr>
              <w:color w:val="231F20"/>
              <w:spacing w:val="-4"/>
            </w:rPr>
            <w:t> </w:t>
          </w:r>
          <w:r>
            <w:rPr>
              <w:color w:val="231F20"/>
            </w:rPr>
            <w:t>and</w:t>
          </w:r>
          <w:r>
            <w:rPr>
              <w:color w:val="231F20"/>
              <w:spacing w:val="-4"/>
            </w:rPr>
            <w:t> </w:t>
          </w:r>
          <w:r>
            <w:rPr>
              <w:color w:val="231F20"/>
            </w:rPr>
            <w:t>Water</w:t>
          </w:r>
          <w:r>
            <w:rPr>
              <w:color w:val="231F20"/>
              <w:spacing w:val="-5"/>
            </w:rPr>
            <w:t> </w:t>
          </w:r>
          <w:r>
            <w:rPr>
              <w:color w:val="231F20"/>
              <w:spacing w:val="-2"/>
            </w:rPr>
            <w:t>Rights</w:t>
          </w:r>
          <w:r>
            <w:rPr>
              <w:color w:val="231F20"/>
            </w:rPr>
            <w:tab/>
          </w:r>
          <w:r>
            <w:rPr>
              <w:color w:val="231F20"/>
              <w:spacing w:val="-5"/>
            </w:rPr>
            <w:t>29</w:t>
          </w:r>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rPr>
            <w:t>Public</w:t>
          </w:r>
          <w:r>
            <w:rPr>
              <w:color w:val="231F20"/>
              <w:spacing w:val="-6"/>
            </w:rPr>
            <w:t> </w:t>
          </w:r>
          <w:r>
            <w:rPr>
              <w:color w:val="231F20"/>
            </w:rPr>
            <w:t>Hospital</w:t>
          </w:r>
          <w:r>
            <w:rPr>
              <w:color w:val="231F20"/>
              <w:spacing w:val="-4"/>
            </w:rPr>
            <w:t> </w:t>
          </w:r>
          <w:r>
            <w:rPr>
              <w:color w:val="231F20"/>
            </w:rPr>
            <w:t>Board</w:t>
          </w:r>
          <w:r>
            <w:rPr>
              <w:color w:val="231F20"/>
              <w:spacing w:val="-4"/>
            </w:rPr>
            <w:t> </w:t>
          </w:r>
          <w:r>
            <w:rPr>
              <w:color w:val="231F20"/>
              <w:spacing w:val="-2"/>
            </w:rPr>
            <w:t>Meetings</w:t>
          </w:r>
          <w:r>
            <w:rPr>
              <w:color w:val="231F20"/>
            </w:rPr>
            <w:tab/>
          </w:r>
          <w:r>
            <w:rPr>
              <w:color w:val="231F20"/>
              <w:spacing w:val="-5"/>
            </w:rPr>
            <w:t>30</w:t>
          </w:r>
        </w:p>
        <w:p>
          <w:pPr>
            <w:pStyle w:val="TOC3"/>
            <w:numPr>
              <w:ilvl w:val="2"/>
              <w:numId w:val="1"/>
            </w:numPr>
            <w:tabs>
              <w:tab w:pos="2276" w:val="left" w:leader="none"/>
              <w:tab w:pos="9355" w:val="right" w:leader="dot"/>
            </w:tabs>
            <w:spacing w:line="240" w:lineRule="auto" w:before="0" w:after="0"/>
            <w:ind w:left="2275" w:right="0" w:hanging="361"/>
            <w:jc w:val="left"/>
            <w:rPr>
              <w:color w:val="231F20"/>
            </w:rPr>
          </w:pPr>
          <w:r>
            <w:rPr>
              <w:color w:val="231F20"/>
            </w:rPr>
            <w:t>Gaming</w:t>
          </w:r>
          <w:r>
            <w:rPr>
              <w:color w:val="231F20"/>
              <w:spacing w:val="-8"/>
            </w:rPr>
            <w:t> </w:t>
          </w:r>
          <w:r>
            <w:rPr>
              <w:color w:val="231F20"/>
            </w:rPr>
            <w:t>Control</w:t>
          </w:r>
          <w:r>
            <w:rPr>
              <w:color w:val="231F20"/>
              <w:spacing w:val="-8"/>
            </w:rPr>
            <w:t> </w:t>
          </w:r>
          <w:r>
            <w:rPr>
              <w:color w:val="231F20"/>
            </w:rPr>
            <w:t>Board</w:t>
          </w:r>
          <w:r>
            <w:rPr>
              <w:color w:val="231F20"/>
              <w:spacing w:val="-7"/>
            </w:rPr>
            <w:t> </w:t>
          </w:r>
          <w:r>
            <w:rPr>
              <w:color w:val="231F20"/>
              <w:spacing w:val="-2"/>
            </w:rPr>
            <w:t>Meetings</w:t>
          </w:r>
          <w:r>
            <w:rPr>
              <w:color w:val="231F20"/>
            </w:rPr>
            <w:tab/>
          </w:r>
          <w:r>
            <w:rPr>
              <w:color w:val="231F20"/>
              <w:spacing w:val="-5"/>
            </w:rPr>
            <w:t>30</w:t>
          </w:r>
        </w:p>
        <w:p>
          <w:pPr>
            <w:pStyle w:val="TOC2"/>
            <w:numPr>
              <w:ilvl w:val="1"/>
              <w:numId w:val="1"/>
            </w:numPr>
            <w:tabs>
              <w:tab w:pos="1409" w:val="left" w:leader="none"/>
              <w:tab w:pos="9355" w:val="right" w:leader="dot"/>
            </w:tabs>
            <w:spacing w:line="240" w:lineRule="auto" w:before="0" w:after="0"/>
            <w:ind w:left="1408" w:right="0" w:hanging="214"/>
            <w:jc w:val="left"/>
          </w:pPr>
          <w:hyperlink w:history="true" w:anchor="_TOC_250011">
            <w:r>
              <w:rPr>
                <w:color w:val="231F20"/>
              </w:rPr>
              <w:t>Closed</w:t>
            </w:r>
            <w:r>
              <w:rPr>
                <w:color w:val="231F20"/>
                <w:spacing w:val="-8"/>
              </w:rPr>
              <w:t> </w:t>
            </w:r>
            <w:r>
              <w:rPr>
                <w:color w:val="231F20"/>
                <w:spacing w:val="-2"/>
              </w:rPr>
              <w:t>Meetings</w:t>
            </w:r>
            <w:r>
              <w:rPr>
                <w:color w:val="231F20"/>
              </w:rPr>
              <w:tab/>
            </w:r>
            <w:r>
              <w:rPr>
                <w:color w:val="231F20"/>
                <w:spacing w:val="-5"/>
              </w:rPr>
              <w:t>31</w:t>
            </w:r>
          </w:hyperlink>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rPr>
            <w:t>Closing</w:t>
          </w:r>
          <w:r>
            <w:rPr>
              <w:color w:val="231F20"/>
              <w:spacing w:val="-5"/>
            </w:rPr>
            <w:t> </w:t>
          </w:r>
          <w:r>
            <w:rPr>
              <w:color w:val="231F20"/>
            </w:rPr>
            <w:t>an</w:t>
          </w:r>
          <w:r>
            <w:rPr>
              <w:color w:val="231F20"/>
              <w:spacing w:val="-5"/>
            </w:rPr>
            <w:t> </w:t>
          </w:r>
          <w:r>
            <w:rPr>
              <w:color w:val="231F20"/>
            </w:rPr>
            <w:t>Open</w:t>
          </w:r>
          <w:r>
            <w:rPr>
              <w:color w:val="231F20"/>
              <w:spacing w:val="-5"/>
            </w:rPr>
            <w:t> </w:t>
          </w:r>
          <w:r>
            <w:rPr>
              <w:color w:val="231F20"/>
              <w:spacing w:val="-2"/>
            </w:rPr>
            <w:t>Meeting.</w:t>
          </w:r>
          <w:r>
            <w:rPr>
              <w:color w:val="231F20"/>
            </w:rPr>
            <w:tab/>
          </w:r>
          <w:r>
            <w:rPr>
              <w:color w:val="231F20"/>
              <w:spacing w:val="-5"/>
            </w:rPr>
            <w:t>31</w:t>
          </w:r>
        </w:p>
        <w:p>
          <w:pPr>
            <w:pStyle w:val="TOC3"/>
            <w:numPr>
              <w:ilvl w:val="2"/>
              <w:numId w:val="1"/>
            </w:numPr>
            <w:tabs>
              <w:tab w:pos="2156" w:val="left" w:leader="none"/>
              <w:tab w:pos="9355" w:val="right" w:leader="dot"/>
            </w:tabs>
            <w:spacing w:line="240" w:lineRule="auto" w:before="0" w:after="0"/>
            <w:ind w:left="2155" w:right="0" w:hanging="241"/>
            <w:jc w:val="left"/>
            <w:rPr>
              <w:color w:val="231F20"/>
            </w:rPr>
          </w:pPr>
          <w:r>
            <w:rPr>
              <w:color w:val="231F20"/>
            </w:rPr>
            <w:t>Closed</w:t>
          </w:r>
          <w:r>
            <w:rPr>
              <w:color w:val="231F20"/>
              <w:spacing w:val="-5"/>
            </w:rPr>
            <w:t> </w:t>
          </w:r>
          <w:r>
            <w:rPr>
              <w:color w:val="231F20"/>
            </w:rPr>
            <w:t>Meeting</w:t>
          </w:r>
          <w:r>
            <w:rPr>
              <w:color w:val="231F20"/>
              <w:spacing w:val="-5"/>
            </w:rPr>
            <w:t> </w:t>
          </w:r>
          <w:r>
            <w:rPr>
              <w:color w:val="231F20"/>
            </w:rPr>
            <w:t>Outside</w:t>
          </w:r>
          <w:r>
            <w:rPr>
              <w:color w:val="231F20"/>
              <w:spacing w:val="-6"/>
            </w:rPr>
            <w:t> </w:t>
          </w:r>
          <w:r>
            <w:rPr>
              <w:color w:val="231F20"/>
            </w:rPr>
            <w:t>an</w:t>
          </w:r>
          <w:r>
            <w:rPr>
              <w:color w:val="231F20"/>
              <w:spacing w:val="-5"/>
            </w:rPr>
            <w:t> </w:t>
          </w:r>
          <w:r>
            <w:rPr>
              <w:color w:val="231F20"/>
            </w:rPr>
            <w:t>Open</w:t>
          </w:r>
          <w:r>
            <w:rPr>
              <w:color w:val="231F20"/>
              <w:spacing w:val="-5"/>
            </w:rPr>
            <w:t> </w:t>
          </w:r>
          <w:r>
            <w:rPr>
              <w:color w:val="231F20"/>
              <w:spacing w:val="-2"/>
            </w:rPr>
            <w:t>Meeting.</w:t>
          </w:r>
          <w:r>
            <w:rPr>
              <w:color w:val="231F20"/>
            </w:rPr>
            <w:tab/>
          </w:r>
          <w:r>
            <w:rPr>
              <w:color w:val="231F20"/>
              <w:spacing w:val="-5"/>
            </w:rPr>
            <w:t>32</w:t>
          </w:r>
        </w:p>
        <w:p>
          <w:pPr>
            <w:pStyle w:val="TOC2"/>
            <w:numPr>
              <w:ilvl w:val="1"/>
              <w:numId w:val="1"/>
            </w:numPr>
            <w:tabs>
              <w:tab w:pos="1436" w:val="left" w:leader="none"/>
              <w:tab w:pos="9355" w:val="right" w:leader="dot"/>
            </w:tabs>
            <w:spacing w:line="240" w:lineRule="auto" w:before="0" w:after="0"/>
            <w:ind w:left="1435" w:right="0" w:hanging="241"/>
            <w:jc w:val="left"/>
          </w:pPr>
          <w:hyperlink w:history="true" w:anchor="_TOC_250010">
            <w:r>
              <w:rPr>
                <w:color w:val="231F20"/>
              </w:rPr>
              <w:t>Statement</w:t>
            </w:r>
            <w:r>
              <w:rPr>
                <w:color w:val="231F20"/>
                <w:spacing w:val="-12"/>
              </w:rPr>
              <w:t> </w:t>
            </w:r>
            <w:r>
              <w:rPr>
                <w:color w:val="231F20"/>
              </w:rPr>
              <w:t>Regarding</w:t>
            </w:r>
            <w:r>
              <w:rPr>
                <w:color w:val="231F20"/>
                <w:spacing w:val="-9"/>
              </w:rPr>
              <w:t> </w:t>
            </w:r>
            <w:r>
              <w:rPr>
                <w:color w:val="231F20"/>
              </w:rPr>
              <w:t>Closed</w:t>
            </w:r>
            <w:r>
              <w:rPr>
                <w:color w:val="231F20"/>
                <w:spacing w:val="-10"/>
              </w:rPr>
              <w:t> </w:t>
            </w:r>
            <w:r>
              <w:rPr>
                <w:color w:val="231F20"/>
                <w:spacing w:val="-2"/>
              </w:rPr>
              <w:t>Discussions</w:t>
            </w:r>
            <w:r>
              <w:rPr>
                <w:color w:val="231F20"/>
              </w:rPr>
              <w:tab/>
            </w:r>
            <w:r>
              <w:rPr>
                <w:color w:val="231F20"/>
                <w:spacing w:val="-5"/>
              </w:rPr>
              <w:t>34</w:t>
            </w:r>
          </w:hyperlink>
        </w:p>
        <w:p>
          <w:pPr>
            <w:pStyle w:val="TOC1"/>
            <w:numPr>
              <w:ilvl w:val="0"/>
              <w:numId w:val="1"/>
            </w:numPr>
            <w:tabs>
              <w:tab w:pos="1001" w:val="left" w:leader="none"/>
              <w:tab w:pos="9355" w:val="right" w:leader="dot"/>
            </w:tabs>
            <w:spacing w:line="240" w:lineRule="auto" w:before="0" w:after="0"/>
            <w:ind w:left="1000" w:right="0" w:hanging="447"/>
            <w:jc w:val="left"/>
          </w:pPr>
          <w:hyperlink w:history="true" w:anchor="_TOC_250009">
            <w:r>
              <w:rPr>
                <w:color w:val="231F20"/>
              </w:rPr>
              <w:t>Section</w:t>
            </w:r>
            <w:r>
              <w:rPr>
                <w:color w:val="231F20"/>
                <w:spacing w:val="-5"/>
              </w:rPr>
              <w:t> </w:t>
            </w:r>
            <w:r>
              <w:rPr>
                <w:color w:val="231F20"/>
              </w:rPr>
              <w:t>10-15-2.</w:t>
            </w:r>
            <w:r>
              <w:rPr>
                <w:color w:val="231F20"/>
                <w:spacing w:val="50"/>
              </w:rPr>
              <w:t> </w:t>
            </w:r>
            <w:r>
              <w:rPr>
                <w:color w:val="231F20"/>
              </w:rPr>
              <w:t>State</w:t>
            </w:r>
            <w:r>
              <w:rPr>
                <w:color w:val="231F20"/>
                <w:spacing w:val="-7"/>
              </w:rPr>
              <w:t> </w:t>
            </w:r>
            <w:r>
              <w:rPr>
                <w:color w:val="231F20"/>
              </w:rPr>
              <w:t>Legislature;</w:t>
            </w:r>
            <w:r>
              <w:rPr>
                <w:color w:val="231F20"/>
                <w:spacing w:val="-4"/>
              </w:rPr>
              <w:t> </w:t>
            </w:r>
            <w:r>
              <w:rPr>
                <w:color w:val="231F20"/>
                <w:spacing w:val="-2"/>
              </w:rPr>
              <w:t>Meetings</w:t>
            </w:r>
            <w:r>
              <w:rPr>
                <w:color w:val="231F20"/>
              </w:rPr>
              <w:tab/>
            </w:r>
            <w:r>
              <w:rPr>
                <w:color w:val="231F20"/>
                <w:spacing w:val="-5"/>
              </w:rPr>
              <w:t>35</w:t>
            </w:r>
          </w:hyperlink>
        </w:p>
        <w:p>
          <w:pPr>
            <w:pStyle w:val="TOC2"/>
            <w:numPr>
              <w:ilvl w:val="1"/>
              <w:numId w:val="1"/>
            </w:numPr>
            <w:tabs>
              <w:tab w:pos="1488" w:val="left" w:leader="none"/>
              <w:tab w:pos="9355" w:val="right" w:leader="dot"/>
            </w:tabs>
            <w:spacing w:line="240" w:lineRule="auto" w:before="1" w:after="0"/>
            <w:ind w:left="1488" w:right="0" w:hanging="293"/>
            <w:jc w:val="left"/>
          </w:pPr>
          <w:hyperlink w:history="true" w:anchor="_TOC_250008">
            <w:r>
              <w:rPr>
                <w:color w:val="231F20"/>
              </w:rPr>
              <w:t>Meetings</w:t>
            </w:r>
            <w:r>
              <w:rPr>
                <w:color w:val="231F20"/>
                <w:spacing w:val="-6"/>
              </w:rPr>
              <w:t> </w:t>
            </w:r>
            <w:r>
              <w:rPr>
                <w:color w:val="231F20"/>
              </w:rPr>
              <w:t>of</w:t>
            </w:r>
            <w:r>
              <w:rPr>
                <w:color w:val="231F20"/>
                <w:spacing w:val="-4"/>
              </w:rPr>
              <w:t> </w:t>
            </w:r>
            <w:r>
              <w:rPr>
                <w:color w:val="231F20"/>
              </w:rPr>
              <w:t>Committees</w:t>
            </w:r>
            <w:r>
              <w:rPr>
                <w:color w:val="231F20"/>
                <w:spacing w:val="-6"/>
              </w:rPr>
              <w:t> </w:t>
            </w:r>
            <w:r>
              <w:rPr>
                <w:color w:val="231F20"/>
              </w:rPr>
              <w:t>and</w:t>
            </w:r>
            <w:r>
              <w:rPr>
                <w:color w:val="231F20"/>
                <w:spacing w:val="-5"/>
              </w:rPr>
              <w:t> </w:t>
            </w:r>
            <w:r>
              <w:rPr>
                <w:color w:val="231F20"/>
              </w:rPr>
              <w:t>Policymaking</w:t>
            </w:r>
            <w:r>
              <w:rPr>
                <w:color w:val="231F20"/>
                <w:spacing w:val="-6"/>
              </w:rPr>
              <w:t> </w:t>
            </w:r>
            <w:r>
              <w:rPr>
                <w:color w:val="231F20"/>
              </w:rPr>
              <w:t>Bodies</w:t>
            </w:r>
            <w:r>
              <w:rPr>
                <w:color w:val="231F20"/>
                <w:spacing w:val="-5"/>
              </w:rPr>
              <w:t> </w:t>
            </w:r>
            <w:r>
              <w:rPr>
                <w:color w:val="231F20"/>
              </w:rPr>
              <w:t>of</w:t>
            </w:r>
            <w:r>
              <w:rPr>
                <w:color w:val="231F20"/>
                <w:spacing w:val="-4"/>
              </w:rPr>
              <w:t> </w:t>
            </w:r>
            <w:r>
              <w:rPr>
                <w:color w:val="231F20"/>
              </w:rPr>
              <w:t>the</w:t>
            </w:r>
            <w:r>
              <w:rPr>
                <w:color w:val="231F20"/>
                <w:spacing w:val="-7"/>
              </w:rPr>
              <w:t> </w:t>
            </w:r>
            <w:r>
              <w:rPr>
                <w:color w:val="231F20"/>
                <w:spacing w:val="-2"/>
              </w:rPr>
              <w:t>Legislature</w:t>
            </w:r>
            <w:r>
              <w:rPr>
                <w:color w:val="231F20"/>
              </w:rPr>
              <w:tab/>
            </w:r>
            <w:r>
              <w:rPr>
                <w:color w:val="231F20"/>
                <w:spacing w:val="-5"/>
              </w:rPr>
              <w:t>35</w:t>
            </w:r>
          </w:hyperlink>
        </w:p>
        <w:p>
          <w:pPr>
            <w:pStyle w:val="TOC2"/>
            <w:numPr>
              <w:ilvl w:val="1"/>
              <w:numId w:val="1"/>
            </w:numPr>
            <w:tabs>
              <w:tab w:pos="1476" w:val="left" w:leader="none"/>
              <w:tab w:pos="9355" w:val="right" w:leader="dot"/>
            </w:tabs>
            <w:spacing w:line="240" w:lineRule="auto" w:before="0" w:after="0"/>
            <w:ind w:left="1476" w:right="0" w:hanging="281"/>
            <w:jc w:val="left"/>
          </w:pPr>
          <w:hyperlink w:history="true" w:anchor="_TOC_250007">
            <w:r>
              <w:rPr>
                <w:color w:val="231F20"/>
                <w:spacing w:val="-2"/>
              </w:rPr>
              <w:t>Exceptions</w:t>
            </w:r>
            <w:r>
              <w:rPr>
                <w:color w:val="231F20"/>
              </w:rPr>
              <w:tab/>
            </w:r>
            <w:r>
              <w:rPr>
                <w:color w:val="231F20"/>
                <w:spacing w:val="-5"/>
              </w:rPr>
              <w:t>36</w:t>
            </w:r>
          </w:hyperlink>
        </w:p>
        <w:p>
          <w:pPr>
            <w:pStyle w:val="TOC2"/>
            <w:numPr>
              <w:ilvl w:val="1"/>
              <w:numId w:val="1"/>
            </w:numPr>
            <w:tabs>
              <w:tab w:pos="1488" w:val="left" w:leader="none"/>
              <w:tab w:pos="9376" w:val="right" w:leader="dot"/>
            </w:tabs>
            <w:spacing w:line="240" w:lineRule="auto" w:before="0" w:after="0"/>
            <w:ind w:left="1488" w:right="0" w:hanging="293"/>
            <w:jc w:val="left"/>
          </w:pPr>
          <w:hyperlink w:history="true" w:anchor="_TOC_250006">
            <w:bookmarkStart w:name="C. Definition of “Meeting”.............." w:id="11"/>
            <w:bookmarkEnd w:id="11"/>
            <w:r>
              <w:rPr>
                <w:color w:val="231F20"/>
              </w:rPr>
              <w:t>D</w:t>
            </w:r>
            <w:r>
              <w:rPr>
                <w:color w:val="231F20"/>
              </w:rPr>
              <w:t>efinition</w:t>
            </w:r>
            <w:r>
              <w:rPr>
                <w:color w:val="231F20"/>
                <w:spacing w:val="-6"/>
              </w:rPr>
              <w:t> </w:t>
            </w:r>
            <w:r>
              <w:rPr>
                <w:color w:val="231F20"/>
              </w:rPr>
              <w:t>of</w:t>
            </w:r>
            <w:r>
              <w:rPr>
                <w:color w:val="231F20"/>
                <w:spacing w:val="-5"/>
              </w:rPr>
              <w:t> </w:t>
            </w:r>
            <w:r>
              <w:rPr>
                <w:color w:val="231F20"/>
                <w:spacing w:val="-2"/>
              </w:rPr>
              <w:t>“Meeting”</w:t>
            </w:r>
            <w:r>
              <w:rPr>
                <w:color w:val="231F20"/>
              </w:rPr>
              <w:tab/>
            </w:r>
            <w:r>
              <w:rPr>
                <w:color w:val="231F20"/>
                <w:spacing w:val="-5"/>
              </w:rPr>
              <w:t>37</w:t>
            </w:r>
          </w:hyperlink>
        </w:p>
        <w:p>
          <w:pPr>
            <w:pStyle w:val="TOC1"/>
            <w:numPr>
              <w:ilvl w:val="0"/>
              <w:numId w:val="1"/>
            </w:numPr>
            <w:tabs>
              <w:tab w:pos="908" w:val="left" w:leader="none"/>
              <w:tab w:pos="9362" w:val="right" w:leader="dot"/>
            </w:tabs>
            <w:spacing w:line="240" w:lineRule="auto" w:before="0" w:after="0"/>
            <w:ind w:left="907" w:right="0" w:hanging="354"/>
            <w:jc w:val="left"/>
          </w:pPr>
          <w:hyperlink w:history="true" w:anchor="_TOC_250005">
            <w:bookmarkStart w:name="V.  Section 10-15-3.  Invalid Actions; S" w:id="12"/>
            <w:bookmarkEnd w:id="12"/>
            <w:r>
              <w:rPr>
                <w:color w:val="231F20"/>
              </w:rPr>
              <w:t>S</w:t>
            </w:r>
            <w:r>
              <w:rPr>
                <w:color w:val="231F20"/>
              </w:rPr>
              <w:t>ection</w:t>
            </w:r>
            <w:r>
              <w:rPr>
                <w:color w:val="231F20"/>
                <w:spacing w:val="-4"/>
              </w:rPr>
              <w:t> </w:t>
            </w:r>
            <w:r>
              <w:rPr>
                <w:color w:val="231F20"/>
              </w:rPr>
              <w:t>10-15-3.</w:t>
            </w:r>
            <w:r>
              <w:rPr>
                <w:color w:val="231F20"/>
                <w:spacing w:val="52"/>
              </w:rPr>
              <w:t> </w:t>
            </w:r>
            <w:r>
              <w:rPr>
                <w:color w:val="231F20"/>
              </w:rPr>
              <w:t>Invalid</w:t>
            </w:r>
            <w:r>
              <w:rPr>
                <w:color w:val="231F20"/>
                <w:spacing w:val="-4"/>
              </w:rPr>
              <w:t> </w:t>
            </w:r>
            <w:r>
              <w:rPr>
                <w:color w:val="231F20"/>
              </w:rPr>
              <w:t>Actions;</w:t>
            </w:r>
            <w:r>
              <w:rPr>
                <w:color w:val="231F20"/>
                <w:spacing w:val="-6"/>
              </w:rPr>
              <w:t> </w:t>
            </w:r>
            <w:r>
              <w:rPr>
                <w:color w:val="231F20"/>
                <w:spacing w:val="-2"/>
              </w:rPr>
              <w:t>Standing.</w:t>
            </w:r>
            <w:r>
              <w:rPr>
                <w:color w:val="231F20"/>
              </w:rPr>
              <w:tab/>
            </w:r>
            <w:r>
              <w:rPr>
                <w:color w:val="231F20"/>
                <w:spacing w:val="-5"/>
              </w:rPr>
              <w:t>38</w:t>
            </w:r>
          </w:hyperlink>
        </w:p>
        <w:p>
          <w:pPr>
            <w:pStyle w:val="TOC2"/>
            <w:numPr>
              <w:ilvl w:val="1"/>
              <w:numId w:val="1"/>
            </w:numPr>
            <w:tabs>
              <w:tab w:pos="1488" w:val="left" w:leader="none"/>
              <w:tab w:pos="9355" w:val="right" w:leader="dot"/>
            </w:tabs>
            <w:spacing w:line="240" w:lineRule="auto" w:before="0" w:after="0"/>
            <w:ind w:left="1488" w:right="0" w:hanging="293"/>
            <w:jc w:val="left"/>
          </w:pPr>
          <w:hyperlink w:history="true" w:anchor="_TOC_250004">
            <w:bookmarkStart w:name="A. Invalid Actions......................" w:id="13"/>
            <w:bookmarkEnd w:id="13"/>
            <w:r>
              <w:rPr>
                <w:color w:val="231F20"/>
              </w:rPr>
              <w:t>I</w:t>
            </w:r>
            <w:r>
              <w:rPr>
                <w:color w:val="231F20"/>
              </w:rPr>
              <w:t>nvalid</w:t>
            </w:r>
            <w:r>
              <w:rPr>
                <w:color w:val="231F20"/>
                <w:spacing w:val="-4"/>
              </w:rPr>
              <w:t> </w:t>
            </w:r>
            <w:r>
              <w:rPr>
                <w:color w:val="231F20"/>
                <w:spacing w:val="-2"/>
              </w:rPr>
              <w:t>Actions</w:t>
            </w:r>
            <w:r>
              <w:rPr>
                <w:color w:val="231F20"/>
              </w:rPr>
              <w:tab/>
            </w:r>
            <w:r>
              <w:rPr>
                <w:color w:val="231F20"/>
                <w:spacing w:val="-5"/>
              </w:rPr>
              <w:t>38</w:t>
            </w:r>
          </w:hyperlink>
        </w:p>
        <w:p>
          <w:pPr>
            <w:pStyle w:val="TOC2"/>
            <w:numPr>
              <w:ilvl w:val="1"/>
              <w:numId w:val="1"/>
            </w:numPr>
            <w:tabs>
              <w:tab w:pos="1476" w:val="left" w:leader="none"/>
              <w:tab w:pos="9355" w:val="right" w:leader="dot"/>
            </w:tabs>
            <w:spacing w:line="240" w:lineRule="auto" w:before="0" w:after="0"/>
            <w:ind w:left="1476" w:right="0" w:hanging="281"/>
            <w:jc w:val="left"/>
          </w:pPr>
          <w:hyperlink w:history="true" w:anchor="_TOC_250003">
            <w:r>
              <w:rPr>
                <w:color w:val="231F20"/>
                <w:spacing w:val="-2"/>
              </w:rPr>
              <w:t>Enforcement</w:t>
            </w:r>
            <w:r>
              <w:rPr>
                <w:color w:val="231F20"/>
              </w:rPr>
              <w:tab/>
            </w:r>
            <w:r>
              <w:rPr>
                <w:color w:val="231F20"/>
                <w:spacing w:val="-5"/>
              </w:rPr>
              <w:t>38</w:t>
            </w:r>
          </w:hyperlink>
        </w:p>
        <w:p>
          <w:pPr>
            <w:pStyle w:val="TOC2"/>
            <w:numPr>
              <w:ilvl w:val="1"/>
              <w:numId w:val="1"/>
            </w:numPr>
            <w:tabs>
              <w:tab w:pos="1488" w:val="left" w:leader="none"/>
              <w:tab w:pos="9355" w:val="right" w:leader="dot"/>
            </w:tabs>
            <w:spacing w:line="240" w:lineRule="auto" w:before="0" w:after="0"/>
            <w:ind w:left="1488" w:right="0" w:hanging="293"/>
            <w:jc w:val="left"/>
          </w:pPr>
          <w:hyperlink w:history="true" w:anchor="_TOC_250002">
            <w:r>
              <w:rPr>
                <w:color w:val="231F20"/>
              </w:rPr>
              <w:t>District</w:t>
            </w:r>
            <w:r>
              <w:rPr>
                <w:color w:val="231F20"/>
                <w:spacing w:val="-9"/>
              </w:rPr>
              <w:t> </w:t>
            </w:r>
            <w:r>
              <w:rPr>
                <w:color w:val="231F20"/>
              </w:rPr>
              <w:t>Court</w:t>
            </w:r>
            <w:r>
              <w:rPr>
                <w:color w:val="231F20"/>
                <w:spacing w:val="-9"/>
              </w:rPr>
              <w:t> </w:t>
            </w:r>
            <w:r>
              <w:rPr>
                <w:color w:val="231F20"/>
                <w:spacing w:val="-2"/>
              </w:rPr>
              <w:t>Jurisdiction</w:t>
            </w:r>
            <w:r>
              <w:rPr>
                <w:color w:val="231F20"/>
              </w:rPr>
              <w:tab/>
            </w:r>
            <w:r>
              <w:rPr>
                <w:color w:val="231F20"/>
                <w:spacing w:val="-5"/>
              </w:rPr>
              <w:t>42</w:t>
            </w:r>
          </w:hyperlink>
        </w:p>
        <w:p>
          <w:pPr>
            <w:pStyle w:val="TOC2"/>
            <w:numPr>
              <w:ilvl w:val="1"/>
              <w:numId w:val="1"/>
            </w:numPr>
            <w:tabs>
              <w:tab w:pos="1488" w:val="left" w:leader="none"/>
              <w:tab w:pos="9355" w:val="right" w:leader="dot"/>
            </w:tabs>
            <w:spacing w:line="240" w:lineRule="auto" w:before="0" w:after="0"/>
            <w:ind w:left="1488" w:right="0" w:hanging="293"/>
            <w:jc w:val="left"/>
          </w:pPr>
          <w:hyperlink w:history="true" w:anchor="_TOC_250001">
            <w:r>
              <w:rPr>
                <w:color w:val="231F20"/>
              </w:rPr>
              <w:t>Other</w:t>
            </w:r>
            <w:r>
              <w:rPr>
                <w:color w:val="231F20"/>
                <w:spacing w:val="-5"/>
              </w:rPr>
              <w:t> </w:t>
            </w:r>
            <w:r>
              <w:rPr>
                <w:color w:val="231F20"/>
                <w:spacing w:val="-2"/>
              </w:rPr>
              <w:t>Remedies</w:t>
            </w:r>
            <w:r>
              <w:rPr>
                <w:color w:val="231F20"/>
              </w:rPr>
              <w:tab/>
            </w:r>
            <w:r>
              <w:rPr>
                <w:color w:val="231F20"/>
                <w:spacing w:val="-5"/>
              </w:rPr>
              <w:t>43</w:t>
            </w:r>
          </w:hyperlink>
        </w:p>
        <w:p>
          <w:pPr>
            <w:pStyle w:val="TOC1"/>
            <w:numPr>
              <w:ilvl w:val="0"/>
              <w:numId w:val="1"/>
            </w:numPr>
            <w:tabs>
              <w:tab w:pos="1001" w:val="left" w:leader="none"/>
              <w:tab w:pos="9355" w:val="right" w:leader="dot"/>
            </w:tabs>
            <w:spacing w:line="240" w:lineRule="auto" w:before="0" w:after="0"/>
            <w:ind w:left="1000" w:right="0" w:hanging="447"/>
            <w:jc w:val="left"/>
          </w:pPr>
          <w:hyperlink w:history="true" w:anchor="_TOC_250000">
            <w:r>
              <w:rPr>
                <w:color w:val="231F20"/>
              </w:rPr>
              <w:t>Section</w:t>
            </w:r>
            <w:r>
              <w:rPr>
                <w:color w:val="231F20"/>
                <w:spacing w:val="-4"/>
              </w:rPr>
              <w:t> </w:t>
            </w:r>
            <w:r>
              <w:rPr>
                <w:color w:val="231F20"/>
              </w:rPr>
              <w:t>10-15-4.</w:t>
            </w:r>
            <w:r>
              <w:rPr>
                <w:color w:val="231F20"/>
                <w:spacing w:val="52"/>
              </w:rPr>
              <w:t> </w:t>
            </w:r>
            <w:r>
              <w:rPr>
                <w:color w:val="231F20"/>
              </w:rPr>
              <w:t>Criminal</w:t>
            </w:r>
            <w:r>
              <w:rPr>
                <w:color w:val="231F20"/>
                <w:spacing w:val="-2"/>
              </w:rPr>
              <w:t> Penalties</w:t>
            </w:r>
            <w:r>
              <w:rPr>
                <w:color w:val="231F20"/>
              </w:rPr>
              <w:tab/>
            </w:r>
            <w:r>
              <w:rPr>
                <w:color w:val="231F20"/>
                <w:spacing w:val="-5"/>
              </w:rPr>
              <w:t>44</w:t>
            </w:r>
          </w:hyperlink>
        </w:p>
        <w:p>
          <w:pPr>
            <w:pStyle w:val="TOC1"/>
            <w:tabs>
              <w:tab w:pos="9355" w:val="right" w:leader="dot"/>
            </w:tabs>
            <w:spacing w:before="276"/>
            <w:ind w:left="554" w:firstLine="0"/>
          </w:pPr>
          <w:r>
            <w:rPr>
              <w:color w:val="231F20"/>
            </w:rPr>
            <w:t>Compliance</w:t>
          </w:r>
          <w:r>
            <w:rPr>
              <w:color w:val="231F20"/>
              <w:spacing w:val="-11"/>
            </w:rPr>
            <w:t> </w:t>
          </w:r>
          <w:r>
            <w:rPr>
              <w:color w:val="231F20"/>
              <w:spacing w:val="-2"/>
            </w:rPr>
            <w:t>Checklist</w:t>
          </w:r>
          <w:r>
            <w:rPr>
              <w:color w:val="231F20"/>
            </w:rPr>
            <w:tab/>
          </w:r>
          <w:r>
            <w:rPr>
              <w:color w:val="231F20"/>
              <w:spacing w:val="-5"/>
            </w:rPr>
            <w:t>45</w:t>
          </w:r>
        </w:p>
      </w:sdtContent>
    </w:sdt>
    <w:p>
      <w:pPr>
        <w:spacing w:after="0"/>
        <w:sectPr>
          <w:pgSz w:w="12240" w:h="15840"/>
          <w:pgMar w:header="660" w:footer="717" w:top="960" w:bottom="900" w:left="360" w:right="240"/>
        </w:sectPr>
      </w:pPr>
    </w:p>
    <w:p>
      <w:pPr>
        <w:pStyle w:val="Heading1"/>
        <w:numPr>
          <w:ilvl w:val="0"/>
          <w:numId w:val="2"/>
        </w:numPr>
        <w:tabs>
          <w:tab w:pos="4776" w:val="left" w:leader="none"/>
        </w:tabs>
        <w:spacing w:line="240" w:lineRule="auto" w:before="272" w:after="0"/>
        <w:ind w:left="4776" w:right="0" w:hanging="502"/>
        <w:jc w:val="left"/>
        <w:rPr>
          <w:color w:val="231F20"/>
        </w:rPr>
      </w:pPr>
      <w:bookmarkStart w:name="_TOC_250022" w:id="14"/>
      <w:bookmarkStart w:name="I. Introduction" w:id="15"/>
      <w:r>
        <w:rPr>
          <w:color w:val="231F20"/>
          <w:spacing w:val="-2"/>
        </w:rPr>
        <w:t>I</w:t>
      </w:r>
      <w:bookmarkEnd w:id="14"/>
      <w:r>
        <w:rPr>
          <w:color w:val="231F20"/>
          <w:spacing w:val="-2"/>
        </w:rPr>
        <w:t>ntroduction</w:t>
      </w:r>
    </w:p>
    <w:p>
      <w:pPr>
        <w:spacing w:after="0" w:line="240" w:lineRule="auto"/>
        <w:jc w:val="left"/>
        <w:sectPr>
          <w:headerReference w:type="default" r:id="rId14"/>
          <w:footerReference w:type="default" r:id="rId15"/>
          <w:pgSz w:w="12240" w:h="15840"/>
          <w:pgMar w:header="660" w:footer="484" w:top="960" w:bottom="680" w:left="360" w:right="240"/>
          <w:pgNumType w:start="1"/>
        </w:sectPr>
      </w:pPr>
    </w:p>
    <w:p>
      <w:pPr>
        <w:pStyle w:val="BodyText"/>
        <w:spacing w:before="8"/>
        <w:rPr>
          <w:sz w:val="23"/>
        </w:rPr>
      </w:pPr>
    </w:p>
    <w:p>
      <w:pPr>
        <w:pStyle w:val="BodyText"/>
        <w:ind w:left="475" w:right="38"/>
        <w:jc w:val="both"/>
      </w:pPr>
      <w:r>
        <w:rPr>
          <w:color w:val="231F20"/>
        </w:rPr>
        <w:t>The “Open Meetings Act,” NMSA 1978, Sections 10-15-1 to 10-15-4, is known as a “sunshine law.” All states have such laws, which are essentially motivated by the belief that the democratic ideal is best served</w:t>
      </w:r>
      <w:r>
        <w:rPr>
          <w:color w:val="231F20"/>
        </w:rPr>
        <w:t> by</w:t>
      </w:r>
      <w:r>
        <w:rPr>
          <w:color w:val="231F20"/>
        </w:rPr>
        <w:t> a</w:t>
      </w:r>
      <w:r>
        <w:rPr>
          <w:color w:val="231F20"/>
        </w:rPr>
        <w:t> well-informed public. Sunshine laws generally require that public business be conducted in full public view, that the actions of public bodies be taken openly, and that the deliberations of</w:t>
      </w:r>
      <w:r>
        <w:rPr>
          <w:color w:val="231F20"/>
          <w:spacing w:val="-1"/>
        </w:rPr>
        <w:t> </w:t>
      </w:r>
      <w:r>
        <w:rPr>
          <w:color w:val="231F20"/>
        </w:rPr>
        <w:t>public</w:t>
      </w:r>
      <w:r>
        <w:rPr>
          <w:color w:val="231F20"/>
          <w:spacing w:val="-1"/>
        </w:rPr>
        <w:t> </w:t>
      </w:r>
      <w:r>
        <w:rPr>
          <w:color w:val="231F20"/>
        </w:rPr>
        <w:t>bodies be</w:t>
      </w:r>
      <w:r>
        <w:rPr>
          <w:color w:val="231F20"/>
          <w:spacing w:val="-1"/>
        </w:rPr>
        <w:t> </w:t>
      </w:r>
      <w:r>
        <w:rPr>
          <w:color w:val="231F20"/>
        </w:rPr>
        <w:t>open to the</w:t>
      </w:r>
      <w:r>
        <w:rPr>
          <w:color w:val="231F20"/>
          <w:spacing w:val="-1"/>
        </w:rPr>
        <w:t> </w:t>
      </w:r>
      <w:r>
        <w:rPr>
          <w:color w:val="231F20"/>
        </w:rPr>
        <w:t>public.</w:t>
      </w:r>
    </w:p>
    <w:p>
      <w:pPr>
        <w:pStyle w:val="BodyText"/>
        <w:rPr>
          <w:sz w:val="28"/>
        </w:rPr>
      </w:pPr>
    </w:p>
    <w:p>
      <w:pPr>
        <w:pStyle w:val="BodyText"/>
        <w:ind w:left="475" w:right="38"/>
        <w:jc w:val="both"/>
      </w:pPr>
      <w:r>
        <w:rPr>
          <w:color w:val="231F20"/>
        </w:rPr>
        <w:t>The</w:t>
      </w:r>
      <w:r>
        <w:rPr>
          <w:color w:val="231F20"/>
          <w:spacing w:val="80"/>
          <w:w w:val="150"/>
        </w:rPr>
        <w:t> </w:t>
      </w:r>
      <w:r>
        <w:rPr>
          <w:color w:val="231F20"/>
        </w:rPr>
        <w:t>Attorney</w:t>
      </w:r>
      <w:r>
        <w:rPr>
          <w:color w:val="231F20"/>
          <w:spacing w:val="80"/>
          <w:w w:val="150"/>
        </w:rPr>
        <w:t> </w:t>
      </w:r>
      <w:r>
        <w:rPr>
          <w:color w:val="231F20"/>
        </w:rPr>
        <w:t>General</w:t>
      </w:r>
      <w:r>
        <w:rPr>
          <w:color w:val="231F20"/>
          <w:spacing w:val="80"/>
          <w:w w:val="150"/>
        </w:rPr>
        <w:t> </w:t>
      </w:r>
      <w:r>
        <w:rPr>
          <w:color w:val="231F20"/>
        </w:rPr>
        <w:t>is</w:t>
      </w:r>
      <w:r>
        <w:rPr>
          <w:color w:val="231F20"/>
          <w:spacing w:val="80"/>
          <w:w w:val="150"/>
        </w:rPr>
        <w:t> </w:t>
      </w:r>
      <w:r>
        <w:rPr>
          <w:color w:val="231F20"/>
        </w:rPr>
        <w:t>authorized</w:t>
      </w:r>
      <w:r>
        <w:rPr>
          <w:color w:val="231F20"/>
          <w:spacing w:val="80"/>
          <w:w w:val="150"/>
        </w:rPr>
        <w:t> </w:t>
      </w:r>
      <w:r>
        <w:rPr>
          <w:color w:val="231F20"/>
        </w:rPr>
        <w:t>by</w:t>
      </w:r>
      <w:r>
        <w:rPr>
          <w:color w:val="231F20"/>
          <w:spacing w:val="40"/>
        </w:rPr>
        <w:t> </w:t>
      </w:r>
      <w:r>
        <w:rPr>
          <w:color w:val="231F20"/>
        </w:rPr>
        <w:t>Section 10-15-3(B) of the Act to enforce its provisions. Accordingly, this Compliance</w:t>
      </w:r>
      <w:r>
        <w:rPr>
          <w:color w:val="231F20"/>
          <w:spacing w:val="40"/>
        </w:rPr>
        <w:t> </w:t>
      </w:r>
      <w:r>
        <w:rPr>
          <w:color w:val="231F20"/>
        </w:rPr>
        <w:t>(“Guide”) has been prepared by the Attorney General to provide assistance in the application of the provisions of the Act to all boards and commissions of the state, counties, municipalities, school districts, conservation districts, irrigation districts, housing authorities, councils of government and other public bodies that are responsible to the public and subject to the Act. It should</w:t>
      </w:r>
      <w:r>
        <w:rPr>
          <w:color w:val="231F20"/>
          <w:spacing w:val="-4"/>
        </w:rPr>
        <w:t> </w:t>
      </w:r>
      <w:r>
        <w:rPr>
          <w:color w:val="231F20"/>
        </w:rPr>
        <w:t>be</w:t>
      </w:r>
      <w:r>
        <w:rPr>
          <w:color w:val="231F20"/>
          <w:spacing w:val="-5"/>
        </w:rPr>
        <w:t> </w:t>
      </w:r>
      <w:r>
        <w:rPr>
          <w:color w:val="231F20"/>
        </w:rPr>
        <w:t>noted</w:t>
      </w:r>
      <w:r>
        <w:rPr>
          <w:color w:val="231F20"/>
          <w:spacing w:val="-4"/>
        </w:rPr>
        <w:t> </w:t>
      </w:r>
      <w:r>
        <w:rPr>
          <w:color w:val="231F20"/>
        </w:rPr>
        <w:t>that</w:t>
      </w:r>
      <w:r>
        <w:rPr>
          <w:color w:val="231F20"/>
          <w:spacing w:val="-4"/>
        </w:rPr>
        <w:t> </w:t>
      </w:r>
      <w:r>
        <w:rPr>
          <w:color w:val="231F20"/>
        </w:rPr>
        <w:t>many</w:t>
      </w:r>
      <w:r>
        <w:rPr>
          <w:color w:val="231F20"/>
          <w:spacing w:val="-7"/>
        </w:rPr>
        <w:t> </w:t>
      </w:r>
      <w:r>
        <w:rPr>
          <w:color w:val="231F20"/>
        </w:rPr>
        <w:t>of</w:t>
      </w:r>
      <w:r>
        <w:rPr>
          <w:color w:val="231F20"/>
          <w:spacing w:val="-3"/>
        </w:rPr>
        <w:t> </w:t>
      </w:r>
      <w:r>
        <w:rPr>
          <w:color w:val="231F20"/>
        </w:rPr>
        <w:t>the</w:t>
      </w:r>
      <w:r>
        <w:rPr>
          <w:color w:val="231F20"/>
          <w:spacing w:val="-5"/>
        </w:rPr>
        <w:t> </w:t>
      </w:r>
      <w:r>
        <w:rPr>
          <w:color w:val="231F20"/>
        </w:rPr>
        <w:t>issues</w:t>
      </w:r>
      <w:r>
        <w:rPr>
          <w:color w:val="231F20"/>
          <w:spacing w:val="-4"/>
        </w:rPr>
        <w:t> </w:t>
      </w:r>
      <w:r>
        <w:rPr>
          <w:color w:val="231F20"/>
        </w:rPr>
        <w:t>discussed in this Guide have not been the subjects of judicial interpretation. By necessity, therefore, the Guide in most respects represents the views of the Attorney General. Although the Attorney General believes the</w:t>
      </w:r>
      <w:r>
        <w:rPr>
          <w:color w:val="231F20"/>
          <w:spacing w:val="-4"/>
        </w:rPr>
        <w:t> </w:t>
      </w:r>
      <w:r>
        <w:rPr>
          <w:color w:val="231F20"/>
        </w:rPr>
        <w:t>construction</w:t>
      </w:r>
      <w:r>
        <w:rPr>
          <w:color w:val="231F20"/>
          <w:spacing w:val="-3"/>
        </w:rPr>
        <w:t> </w:t>
      </w:r>
      <w:r>
        <w:rPr>
          <w:color w:val="231F20"/>
        </w:rPr>
        <w:t>of</w:t>
      </w:r>
      <w:r>
        <w:rPr>
          <w:color w:val="231F20"/>
          <w:spacing w:val="-4"/>
        </w:rPr>
        <w:t> </w:t>
      </w:r>
      <w:r>
        <w:rPr>
          <w:color w:val="231F20"/>
        </w:rPr>
        <w:t>the</w:t>
      </w:r>
      <w:r>
        <w:rPr>
          <w:color w:val="231F20"/>
          <w:spacing w:val="-2"/>
        </w:rPr>
        <w:t> </w:t>
      </w:r>
      <w:r>
        <w:rPr>
          <w:color w:val="231F20"/>
        </w:rPr>
        <w:t>Open</w:t>
      </w:r>
      <w:r>
        <w:rPr>
          <w:color w:val="231F20"/>
          <w:spacing w:val="-3"/>
        </w:rPr>
        <w:t> </w:t>
      </w:r>
      <w:r>
        <w:rPr>
          <w:color w:val="231F20"/>
        </w:rPr>
        <w:t>Meetings</w:t>
      </w:r>
      <w:r>
        <w:rPr>
          <w:color w:val="231F20"/>
          <w:spacing w:val="-3"/>
        </w:rPr>
        <w:t> </w:t>
      </w:r>
      <w:r>
        <w:rPr>
          <w:color w:val="231F20"/>
        </w:rPr>
        <w:t>Act reflected in this Compliance Guide is correct, it is always possible that a court faced with the same issues would disagree with the Attorney General’s </w:t>
      </w:r>
      <w:r>
        <w:rPr>
          <w:color w:val="231F20"/>
          <w:spacing w:val="-2"/>
        </w:rPr>
        <w:t>interpretation.</w:t>
      </w:r>
    </w:p>
    <w:p>
      <w:pPr>
        <w:pStyle w:val="BodyText"/>
        <w:rPr>
          <w:sz w:val="28"/>
        </w:rPr>
      </w:pPr>
    </w:p>
    <w:p>
      <w:pPr>
        <w:pStyle w:val="BodyText"/>
        <w:ind w:left="475" w:right="39"/>
        <w:jc w:val="both"/>
      </w:pPr>
      <w:r>
        <w:rPr>
          <w:color w:val="231F20"/>
        </w:rPr>
        <w:t>New Mexico’s Open Meetings Act addresses four areas. The first defines the basic policy of the state with respect to meetings of non-legislative public bodies</w:t>
      </w:r>
      <w:r>
        <w:rPr>
          <w:color w:val="231F20"/>
          <w:spacing w:val="44"/>
        </w:rPr>
        <w:t> </w:t>
      </w:r>
      <w:r>
        <w:rPr>
          <w:color w:val="231F20"/>
        </w:rPr>
        <w:t>and</w:t>
      </w:r>
      <w:r>
        <w:rPr>
          <w:color w:val="231F20"/>
          <w:spacing w:val="44"/>
        </w:rPr>
        <w:t> </w:t>
      </w:r>
      <w:r>
        <w:rPr>
          <w:color w:val="231F20"/>
        </w:rPr>
        <w:t>how</w:t>
      </w:r>
      <w:r>
        <w:rPr>
          <w:color w:val="231F20"/>
          <w:spacing w:val="47"/>
        </w:rPr>
        <w:t> </w:t>
      </w:r>
      <w:r>
        <w:rPr>
          <w:color w:val="231F20"/>
        </w:rPr>
        <w:t>it</w:t>
      </w:r>
      <w:r>
        <w:rPr>
          <w:color w:val="231F20"/>
          <w:spacing w:val="45"/>
        </w:rPr>
        <w:t> </w:t>
      </w:r>
      <w:r>
        <w:rPr>
          <w:color w:val="231F20"/>
        </w:rPr>
        <w:t>is</w:t>
      </w:r>
      <w:r>
        <w:rPr>
          <w:color w:val="231F20"/>
          <w:spacing w:val="44"/>
        </w:rPr>
        <w:t> </w:t>
      </w:r>
      <w:r>
        <w:rPr>
          <w:color w:val="231F20"/>
        </w:rPr>
        <w:t>to</w:t>
      </w:r>
      <w:r>
        <w:rPr>
          <w:color w:val="231F20"/>
          <w:spacing w:val="45"/>
        </w:rPr>
        <w:t> </w:t>
      </w:r>
      <w:r>
        <w:rPr>
          <w:color w:val="231F20"/>
        </w:rPr>
        <w:t>be</w:t>
      </w:r>
      <w:r>
        <w:rPr>
          <w:color w:val="231F20"/>
          <w:spacing w:val="43"/>
        </w:rPr>
        <w:t> </w:t>
      </w:r>
      <w:r>
        <w:rPr>
          <w:color w:val="231F20"/>
        </w:rPr>
        <w:t>applied</w:t>
      </w:r>
      <w:r>
        <w:rPr>
          <w:color w:val="231F20"/>
          <w:spacing w:val="47"/>
        </w:rPr>
        <w:t> </w:t>
      </w:r>
      <w:r>
        <w:rPr>
          <w:color w:val="231F20"/>
        </w:rPr>
        <w:t>in</w:t>
      </w:r>
      <w:r>
        <w:rPr>
          <w:color w:val="231F20"/>
          <w:spacing w:val="45"/>
        </w:rPr>
        <w:t> </w:t>
      </w:r>
      <w:r>
        <w:rPr>
          <w:color w:val="231F20"/>
          <w:spacing w:val="-2"/>
        </w:rPr>
        <w:t>conducting</w:t>
      </w:r>
    </w:p>
    <w:p>
      <w:pPr>
        <w:spacing w:line="240" w:lineRule="auto" w:before="0"/>
        <w:rPr>
          <w:sz w:val="26"/>
        </w:rPr>
      </w:pPr>
      <w:r>
        <w:rPr/>
        <w:br w:type="column"/>
      </w:r>
      <w:r>
        <w:rPr>
          <w:sz w:val="26"/>
        </w:rPr>
      </w:r>
    </w:p>
    <w:p>
      <w:pPr>
        <w:pStyle w:val="BodyText"/>
        <w:spacing w:before="8"/>
        <w:rPr>
          <w:sz w:val="21"/>
        </w:rPr>
      </w:pPr>
    </w:p>
    <w:p>
      <w:pPr>
        <w:pStyle w:val="BodyText"/>
        <w:ind w:left="475" w:right="269"/>
        <w:jc w:val="both"/>
      </w:pPr>
      <w:r>
        <w:rPr>
          <w:color w:val="231F20"/>
        </w:rPr>
        <w:t>public business; the second defines the policy as it applies to meetings of committees of the state legislature; the third addresses the effect that violating the Act may have on the validity of</w:t>
      </w:r>
      <w:r>
        <w:rPr>
          <w:color w:val="231F20"/>
          <w:spacing w:val="40"/>
        </w:rPr>
        <w:t> </w:t>
      </w:r>
      <w:r>
        <w:rPr>
          <w:color w:val="231F20"/>
        </w:rPr>
        <w:t>actions taken by public bodies; and the fourth defines the penalty for violation of the Act. These areas are discussed sequentially in the text of this Guide. For ease of reference, the entire Act is set forth on pages 2 through 5.</w:t>
      </w:r>
    </w:p>
    <w:p>
      <w:pPr>
        <w:pStyle w:val="BodyText"/>
      </w:pPr>
    </w:p>
    <w:p>
      <w:pPr>
        <w:pStyle w:val="BodyText"/>
        <w:spacing w:before="1"/>
        <w:ind w:left="475" w:right="267"/>
        <w:jc w:val="both"/>
      </w:pPr>
      <w:r>
        <w:rPr>
          <w:color w:val="231F20"/>
        </w:rPr>
        <w:t>The Open Meetings Act was most recently</w:t>
      </w:r>
      <w:r>
        <w:rPr>
          <w:color w:val="231F20"/>
          <w:spacing w:val="40"/>
        </w:rPr>
        <w:t> </w:t>
      </w:r>
      <w:r>
        <w:rPr>
          <w:color w:val="231F20"/>
        </w:rPr>
        <w:t>amended during the 2013 legislative session. The amendment requires, with some exceptions, that a public body make the agendas of regular and</w:t>
      </w:r>
      <w:r>
        <w:rPr>
          <w:color w:val="231F20"/>
          <w:spacing w:val="40"/>
        </w:rPr>
        <w:t> </w:t>
      </w:r>
      <w:r>
        <w:rPr>
          <w:color w:val="231F20"/>
        </w:rPr>
        <w:t>special meetings available to the public at least seventy-two hours prior to the meetings and post</w:t>
      </w:r>
      <w:r>
        <w:rPr>
          <w:color w:val="231F20"/>
          <w:spacing w:val="40"/>
        </w:rPr>
        <w:t> </w:t>
      </w:r>
      <w:r>
        <w:rPr>
          <w:color w:val="231F20"/>
        </w:rPr>
        <w:t>the agendas on the public body’s website if one is </w:t>
      </w:r>
      <w:r>
        <w:rPr>
          <w:color w:val="231F20"/>
          <w:spacing w:val="-2"/>
        </w:rPr>
        <w:t>maintained.</w:t>
      </w:r>
    </w:p>
    <w:p>
      <w:pPr>
        <w:pStyle w:val="BodyText"/>
        <w:spacing w:before="11"/>
        <w:rPr>
          <w:sz w:val="27"/>
        </w:rPr>
      </w:pPr>
    </w:p>
    <w:p>
      <w:pPr>
        <w:pStyle w:val="BodyText"/>
        <w:ind w:left="475" w:right="269"/>
        <w:jc w:val="both"/>
      </w:pPr>
      <w:r>
        <w:rPr>
          <w:color w:val="231F20"/>
        </w:rPr>
        <w:t>For ease of understanding, the text in this Guide is divided into three areas:</w:t>
      </w:r>
    </w:p>
    <w:p>
      <w:pPr>
        <w:pStyle w:val="BodyText"/>
      </w:pPr>
    </w:p>
    <w:p>
      <w:pPr>
        <w:pStyle w:val="ListParagraph"/>
        <w:numPr>
          <w:ilvl w:val="0"/>
          <w:numId w:val="3"/>
        </w:numPr>
        <w:tabs>
          <w:tab w:pos="735" w:val="left" w:leader="none"/>
        </w:tabs>
        <w:spacing w:line="240" w:lineRule="auto" w:before="0" w:after="0"/>
        <w:ind w:left="734" w:right="0" w:hanging="260"/>
        <w:jc w:val="left"/>
        <w:rPr>
          <w:b/>
          <w:sz w:val="24"/>
        </w:rPr>
      </w:pPr>
      <w:r>
        <w:rPr>
          <w:b/>
          <w:color w:val="231F20"/>
          <w:sz w:val="24"/>
        </w:rPr>
        <w:t>The</w:t>
      </w:r>
      <w:r>
        <w:rPr>
          <w:b/>
          <w:color w:val="231F20"/>
          <w:spacing w:val="-4"/>
          <w:sz w:val="24"/>
        </w:rPr>
        <w:t> </w:t>
      </w:r>
      <w:r>
        <w:rPr>
          <w:b/>
          <w:color w:val="231F20"/>
          <w:sz w:val="24"/>
        </w:rPr>
        <w:t>Law,</w:t>
      </w:r>
      <w:r>
        <w:rPr>
          <w:b/>
          <w:color w:val="231F20"/>
          <w:spacing w:val="-3"/>
          <w:sz w:val="24"/>
        </w:rPr>
        <w:t> </w:t>
      </w:r>
      <w:r>
        <w:rPr>
          <w:b/>
          <w:color w:val="231F20"/>
          <w:sz w:val="24"/>
        </w:rPr>
        <w:t>as</w:t>
      </w:r>
      <w:r>
        <w:rPr>
          <w:b/>
          <w:color w:val="231F20"/>
          <w:spacing w:val="-5"/>
          <w:sz w:val="24"/>
        </w:rPr>
        <w:t> </w:t>
      </w:r>
      <w:r>
        <w:rPr>
          <w:b/>
          <w:color w:val="231F20"/>
          <w:sz w:val="24"/>
        </w:rPr>
        <w:t>written,</w:t>
      </w:r>
      <w:r>
        <w:rPr>
          <w:b/>
          <w:color w:val="231F20"/>
          <w:spacing w:val="-3"/>
          <w:sz w:val="24"/>
        </w:rPr>
        <w:t> </w:t>
      </w:r>
      <w:r>
        <w:rPr>
          <w:b/>
          <w:color w:val="231F20"/>
          <w:sz w:val="24"/>
        </w:rPr>
        <w:t>is</w:t>
      </w:r>
      <w:r>
        <w:rPr>
          <w:b/>
          <w:color w:val="231F20"/>
          <w:spacing w:val="-3"/>
          <w:sz w:val="24"/>
        </w:rPr>
        <w:t> </w:t>
      </w:r>
      <w:r>
        <w:rPr>
          <w:b/>
          <w:color w:val="231F20"/>
          <w:sz w:val="24"/>
        </w:rPr>
        <w:t>in</w:t>
      </w:r>
      <w:r>
        <w:rPr>
          <w:b/>
          <w:color w:val="231F20"/>
          <w:spacing w:val="-3"/>
          <w:sz w:val="24"/>
        </w:rPr>
        <w:t> </w:t>
      </w:r>
      <w:r>
        <w:rPr>
          <w:b/>
          <w:color w:val="231F20"/>
          <w:sz w:val="24"/>
        </w:rPr>
        <w:t>bold</w:t>
      </w:r>
      <w:r>
        <w:rPr>
          <w:b/>
          <w:color w:val="231F20"/>
          <w:spacing w:val="-2"/>
          <w:sz w:val="24"/>
        </w:rPr>
        <w:t> </w:t>
      </w:r>
      <w:r>
        <w:rPr>
          <w:b/>
          <w:color w:val="231F20"/>
          <w:spacing w:val="-4"/>
          <w:sz w:val="24"/>
        </w:rPr>
        <w:t>type.</w:t>
      </w:r>
    </w:p>
    <w:p>
      <w:pPr>
        <w:pStyle w:val="ListParagraph"/>
        <w:numPr>
          <w:ilvl w:val="0"/>
          <w:numId w:val="3"/>
        </w:numPr>
        <w:tabs>
          <w:tab w:pos="735" w:val="left" w:leader="none"/>
        </w:tabs>
        <w:spacing w:line="240" w:lineRule="auto" w:before="0" w:after="0"/>
        <w:ind w:left="734" w:right="0" w:hanging="260"/>
        <w:jc w:val="left"/>
        <w:rPr>
          <w:sz w:val="24"/>
        </w:rPr>
      </w:pPr>
      <w:r>
        <w:rPr>
          <w:color w:val="231F20"/>
          <w:sz w:val="24"/>
        </w:rPr>
        <w:t>Commentary</w:t>
      </w:r>
      <w:r>
        <w:rPr>
          <w:color w:val="231F20"/>
          <w:spacing w:val="-11"/>
          <w:sz w:val="24"/>
        </w:rPr>
        <w:t> </w:t>
      </w:r>
      <w:r>
        <w:rPr>
          <w:color w:val="231F20"/>
          <w:sz w:val="24"/>
        </w:rPr>
        <w:t>or</w:t>
      </w:r>
      <w:r>
        <w:rPr>
          <w:color w:val="231F20"/>
          <w:spacing w:val="-7"/>
          <w:sz w:val="24"/>
        </w:rPr>
        <w:t> </w:t>
      </w:r>
      <w:r>
        <w:rPr>
          <w:color w:val="231F20"/>
          <w:sz w:val="24"/>
        </w:rPr>
        <w:t>explanation</w:t>
      </w:r>
      <w:r>
        <w:rPr>
          <w:color w:val="231F20"/>
          <w:spacing w:val="-6"/>
          <w:sz w:val="24"/>
        </w:rPr>
        <w:t> </w:t>
      </w:r>
      <w:r>
        <w:rPr>
          <w:color w:val="231F20"/>
          <w:sz w:val="24"/>
        </w:rPr>
        <w:t>is</w:t>
      </w:r>
      <w:r>
        <w:rPr>
          <w:color w:val="231F20"/>
          <w:spacing w:val="-5"/>
          <w:sz w:val="24"/>
        </w:rPr>
        <w:t> </w:t>
      </w:r>
      <w:r>
        <w:rPr>
          <w:color w:val="231F20"/>
          <w:sz w:val="24"/>
        </w:rPr>
        <w:t>in</w:t>
      </w:r>
      <w:r>
        <w:rPr>
          <w:color w:val="231F20"/>
          <w:spacing w:val="-5"/>
          <w:sz w:val="24"/>
        </w:rPr>
        <w:t> </w:t>
      </w:r>
      <w:r>
        <w:rPr>
          <w:color w:val="231F20"/>
          <w:sz w:val="24"/>
        </w:rPr>
        <w:t>regular</w:t>
      </w:r>
      <w:r>
        <w:rPr>
          <w:color w:val="231F20"/>
          <w:spacing w:val="-7"/>
          <w:sz w:val="24"/>
        </w:rPr>
        <w:t> </w:t>
      </w:r>
      <w:r>
        <w:rPr>
          <w:color w:val="231F20"/>
          <w:spacing w:val="-4"/>
          <w:sz w:val="24"/>
        </w:rPr>
        <w:t>type.</w:t>
      </w:r>
    </w:p>
    <w:p>
      <w:pPr>
        <w:pStyle w:val="ListParagraph"/>
        <w:numPr>
          <w:ilvl w:val="0"/>
          <w:numId w:val="3"/>
        </w:numPr>
        <w:tabs>
          <w:tab w:pos="754" w:val="left" w:leader="none"/>
        </w:tabs>
        <w:spacing w:line="240" w:lineRule="auto" w:before="0" w:after="0"/>
        <w:ind w:left="475" w:right="272" w:firstLine="0"/>
        <w:jc w:val="left"/>
        <w:rPr>
          <w:i/>
          <w:sz w:val="24"/>
        </w:rPr>
      </w:pPr>
      <w:r>
        <w:rPr>
          <w:i/>
          <w:color w:val="231F20"/>
          <w:sz w:val="24"/>
        </w:rPr>
        <w:t>Examples of when the law would and would not</w:t>
      </w:r>
      <w:r>
        <w:rPr>
          <w:i/>
          <w:color w:val="231F20"/>
          <w:sz w:val="24"/>
        </w:rPr>
        <w:t> apply are in italic type.</w:t>
      </w:r>
    </w:p>
    <w:p>
      <w:pPr>
        <w:pStyle w:val="BodyText"/>
        <w:rPr>
          <w:i/>
        </w:rPr>
      </w:pPr>
    </w:p>
    <w:p>
      <w:pPr>
        <w:pStyle w:val="BodyText"/>
        <w:ind w:left="475" w:right="267"/>
        <w:jc w:val="both"/>
      </w:pPr>
      <w:r>
        <w:rPr>
          <w:color w:val="231F20"/>
        </w:rPr>
        <w:t>If you</w:t>
      </w:r>
      <w:r>
        <w:rPr>
          <w:color w:val="231F20"/>
          <w:spacing w:val="-3"/>
        </w:rPr>
        <w:t> </w:t>
      </w:r>
      <w:r>
        <w:rPr>
          <w:color w:val="231F20"/>
        </w:rPr>
        <w:t>would</w:t>
      </w:r>
      <w:r>
        <w:rPr>
          <w:color w:val="231F20"/>
          <w:spacing w:val="-2"/>
        </w:rPr>
        <w:t> </w:t>
      </w:r>
      <w:r>
        <w:rPr>
          <w:color w:val="231F20"/>
        </w:rPr>
        <w:t>like</w:t>
      </w:r>
      <w:r>
        <w:rPr>
          <w:color w:val="231F20"/>
          <w:spacing w:val="-3"/>
        </w:rPr>
        <w:t> </w:t>
      </w:r>
      <w:r>
        <w:rPr>
          <w:color w:val="231F20"/>
        </w:rPr>
        <w:t>additional</w:t>
      </w:r>
      <w:r>
        <w:rPr>
          <w:color w:val="231F20"/>
          <w:spacing w:val="-2"/>
        </w:rPr>
        <w:t> </w:t>
      </w:r>
      <w:r>
        <w:rPr>
          <w:color w:val="231F20"/>
        </w:rPr>
        <w:t>copies</w:t>
      </w:r>
      <w:r>
        <w:rPr>
          <w:color w:val="231F20"/>
          <w:spacing w:val="-2"/>
        </w:rPr>
        <w:t> </w:t>
      </w:r>
      <w:r>
        <w:rPr>
          <w:color w:val="231F20"/>
        </w:rPr>
        <w:t>of</w:t>
      </w:r>
      <w:r>
        <w:rPr>
          <w:color w:val="231F20"/>
          <w:spacing w:val="-3"/>
        </w:rPr>
        <w:t> </w:t>
      </w:r>
      <w:r>
        <w:rPr>
          <w:color w:val="231F20"/>
        </w:rPr>
        <w:t>this</w:t>
      </w:r>
      <w:r>
        <w:rPr>
          <w:color w:val="231F20"/>
          <w:spacing w:val="-2"/>
        </w:rPr>
        <w:t> </w:t>
      </w:r>
      <w:r>
        <w:rPr>
          <w:color w:val="231F20"/>
        </w:rPr>
        <w:t>Guide, or if you have any questions about the Guide or the applicability of the Act, please contact the Open Government Division of the Office of the Attorney General, P.O. Drawer 1508, Santa Fe, New Mexico 87504-1508, or by telephone at (505) </w:t>
      </w:r>
      <w:r>
        <w:rPr>
          <w:color w:val="231F20"/>
        </w:rPr>
        <w:t>827-6070. This Guide is also posted on the Office</w:t>
      </w:r>
      <w:r>
        <w:rPr>
          <w:color w:val="231F20"/>
        </w:rPr>
        <w:t> of</w:t>
      </w:r>
      <w:r>
        <w:rPr>
          <w:color w:val="231F20"/>
        </w:rPr>
        <w:t> the Attorney</w:t>
      </w:r>
      <w:r>
        <w:rPr>
          <w:color w:val="231F20"/>
          <w:spacing w:val="27"/>
        </w:rPr>
        <w:t>  </w:t>
      </w:r>
      <w:r>
        <w:rPr>
          <w:color w:val="231F20"/>
        </w:rPr>
        <w:t>General’s</w:t>
      </w:r>
      <w:r>
        <w:rPr>
          <w:color w:val="231F20"/>
          <w:spacing w:val="29"/>
        </w:rPr>
        <w:t>  </w:t>
      </w:r>
      <w:r>
        <w:rPr>
          <w:color w:val="231F20"/>
        </w:rPr>
        <w:t>website</w:t>
      </w:r>
      <w:r>
        <w:rPr>
          <w:color w:val="231F20"/>
          <w:spacing w:val="28"/>
        </w:rPr>
        <w:t>  </w:t>
      </w:r>
      <w:r>
        <w:rPr>
          <w:color w:val="231F20"/>
        </w:rPr>
        <w:t>at</w:t>
      </w:r>
      <w:r>
        <w:rPr>
          <w:color w:val="231F20"/>
          <w:spacing w:val="29"/>
        </w:rPr>
        <w:t>  </w:t>
      </w:r>
      <w:hyperlink r:id="rId16">
        <w:r>
          <w:rPr>
            <w:color w:val="231F20"/>
            <w:spacing w:val="-2"/>
          </w:rPr>
          <w:t>www.nmag.gov.</w:t>
        </w:r>
      </w:hyperlink>
    </w:p>
    <w:p>
      <w:pPr>
        <w:spacing w:after="0"/>
        <w:jc w:val="both"/>
        <w:sectPr>
          <w:type w:val="continuous"/>
          <w:pgSz w:w="12240" w:h="15840"/>
          <w:pgMar w:header="660" w:footer="484" w:top="480" w:bottom="280" w:left="360" w:right="240"/>
          <w:cols w:num="2" w:equalWidth="0">
            <w:col w:w="5529" w:space="353"/>
            <w:col w:w="5758"/>
          </w:cols>
        </w:sectPr>
      </w:pPr>
    </w:p>
    <w:p>
      <w:pPr>
        <w:pStyle w:val="BodyText"/>
        <w:spacing w:before="2"/>
        <w:rPr>
          <w:sz w:val="17"/>
        </w:rPr>
      </w:pPr>
    </w:p>
    <w:p>
      <w:pPr>
        <w:pStyle w:val="Heading1"/>
        <w:numPr>
          <w:ilvl w:val="0"/>
          <w:numId w:val="2"/>
        </w:numPr>
        <w:tabs>
          <w:tab w:pos="4052" w:val="left" w:leader="none"/>
        </w:tabs>
        <w:spacing w:line="240" w:lineRule="auto" w:before="75" w:after="0"/>
        <w:ind w:left="4051" w:right="0" w:hanging="702"/>
        <w:jc w:val="left"/>
        <w:rPr>
          <w:color w:val="231F20"/>
        </w:rPr>
      </w:pPr>
      <w:bookmarkStart w:name="_TOC_250021" w:id="16"/>
      <w:bookmarkStart w:name="II. Open Meetings Act" w:id="17"/>
      <w:r>
        <w:rPr>
          <w:color w:val="231F20"/>
        </w:rPr>
        <w:t>O</w:t>
      </w:r>
      <w:r>
        <w:rPr>
          <w:color w:val="231F20"/>
        </w:rPr>
        <w:t>pen</w:t>
      </w:r>
      <w:r>
        <w:rPr>
          <w:color w:val="231F20"/>
          <w:spacing w:val="-15"/>
        </w:rPr>
        <w:t> </w:t>
      </w:r>
      <w:r>
        <w:rPr>
          <w:color w:val="231F20"/>
        </w:rPr>
        <w:t>Meetings</w:t>
      </w:r>
      <w:r>
        <w:rPr>
          <w:color w:val="231F20"/>
          <w:spacing w:val="-8"/>
        </w:rPr>
        <w:t> </w:t>
      </w:r>
      <w:bookmarkEnd w:id="16"/>
      <w:r>
        <w:rPr>
          <w:color w:val="231F20"/>
          <w:spacing w:val="-5"/>
        </w:rPr>
        <w:t>Act</w:t>
      </w:r>
    </w:p>
    <w:p>
      <w:pPr>
        <w:pStyle w:val="BodyText"/>
        <w:spacing w:before="3"/>
        <w:rPr>
          <w:sz w:val="16"/>
        </w:rPr>
      </w:pPr>
    </w:p>
    <w:p>
      <w:pPr>
        <w:spacing w:after="0"/>
        <w:rPr>
          <w:sz w:val="16"/>
        </w:rPr>
        <w:sectPr>
          <w:pgSz w:w="12240" w:h="15840"/>
          <w:pgMar w:header="660" w:footer="484" w:top="960" w:bottom="860" w:left="360" w:right="240"/>
        </w:sectPr>
      </w:pPr>
    </w:p>
    <w:p>
      <w:pPr>
        <w:spacing w:before="90"/>
        <w:ind w:left="566" w:right="0" w:firstLine="0"/>
        <w:jc w:val="left"/>
        <w:rPr>
          <w:b/>
          <w:sz w:val="24"/>
        </w:rPr>
      </w:pPr>
      <w:r>
        <w:rPr>
          <w:b/>
          <w:color w:val="231F20"/>
          <w:sz w:val="24"/>
        </w:rPr>
        <w:t>10-15-1.</w:t>
      </w:r>
      <w:r>
        <w:rPr>
          <w:b/>
          <w:color w:val="231F20"/>
          <w:spacing w:val="55"/>
          <w:sz w:val="24"/>
        </w:rPr>
        <w:t> </w:t>
      </w:r>
      <w:r>
        <w:rPr>
          <w:b/>
          <w:color w:val="231F20"/>
          <w:sz w:val="24"/>
        </w:rPr>
        <w:t>Formation</w:t>
      </w:r>
      <w:r>
        <w:rPr>
          <w:b/>
          <w:color w:val="231F20"/>
          <w:spacing w:val="-3"/>
          <w:sz w:val="24"/>
        </w:rPr>
        <w:t> </w:t>
      </w:r>
      <w:r>
        <w:rPr>
          <w:b/>
          <w:color w:val="231F20"/>
          <w:sz w:val="24"/>
        </w:rPr>
        <w:t>of</w:t>
      </w:r>
      <w:r>
        <w:rPr>
          <w:b/>
          <w:color w:val="231F20"/>
          <w:spacing w:val="-4"/>
          <w:sz w:val="24"/>
        </w:rPr>
        <w:t> </w:t>
      </w:r>
      <w:r>
        <w:rPr>
          <w:b/>
          <w:color w:val="231F20"/>
          <w:sz w:val="24"/>
        </w:rPr>
        <w:t>Public</w:t>
      </w:r>
      <w:r>
        <w:rPr>
          <w:b/>
          <w:color w:val="231F20"/>
          <w:spacing w:val="-4"/>
          <w:sz w:val="24"/>
        </w:rPr>
        <w:t> </w:t>
      </w:r>
      <w:r>
        <w:rPr>
          <w:b/>
          <w:color w:val="231F20"/>
          <w:spacing w:val="-2"/>
          <w:sz w:val="24"/>
        </w:rPr>
        <w:t>Policy</w:t>
      </w:r>
    </w:p>
    <w:p>
      <w:pPr>
        <w:pStyle w:val="BodyText"/>
        <w:rPr>
          <w:b/>
        </w:rPr>
      </w:pPr>
    </w:p>
    <w:p>
      <w:pPr>
        <w:pStyle w:val="ListParagraph"/>
        <w:numPr>
          <w:ilvl w:val="1"/>
          <w:numId w:val="3"/>
        </w:numPr>
        <w:tabs>
          <w:tab w:pos="1018" w:val="left" w:leader="none"/>
        </w:tabs>
        <w:spacing w:line="240" w:lineRule="auto" w:before="0" w:after="0"/>
        <w:ind w:left="566" w:right="38" w:firstLine="0"/>
        <w:jc w:val="both"/>
        <w:rPr>
          <w:b/>
          <w:sz w:val="24"/>
        </w:rPr>
      </w:pPr>
      <w:r>
        <w:rPr>
          <w:b/>
          <w:color w:val="231F20"/>
          <w:sz w:val="24"/>
        </w:rPr>
        <w:t>In recognition of the fact that</w:t>
      </w:r>
      <w:r>
        <w:rPr>
          <w:b/>
          <w:color w:val="231F20"/>
          <w:sz w:val="24"/>
        </w:rPr>
        <w:t> a representative</w:t>
      </w:r>
      <w:r>
        <w:rPr>
          <w:b/>
          <w:color w:val="231F20"/>
          <w:sz w:val="24"/>
        </w:rPr>
        <w:t> government</w:t>
      </w:r>
      <w:r>
        <w:rPr>
          <w:b/>
          <w:color w:val="231F20"/>
          <w:sz w:val="24"/>
        </w:rPr>
        <w:t> is dependent upon</w:t>
      </w:r>
      <w:r>
        <w:rPr>
          <w:b/>
          <w:color w:val="231F20"/>
          <w:spacing w:val="-4"/>
          <w:sz w:val="24"/>
        </w:rPr>
        <w:t> </w:t>
      </w:r>
      <w:r>
        <w:rPr>
          <w:b/>
          <w:color w:val="231F20"/>
          <w:sz w:val="24"/>
        </w:rPr>
        <w:t>an</w:t>
      </w:r>
      <w:r>
        <w:rPr>
          <w:b/>
          <w:color w:val="231F20"/>
          <w:spacing w:val="-4"/>
          <w:sz w:val="24"/>
        </w:rPr>
        <w:t> </w:t>
      </w:r>
      <w:r>
        <w:rPr>
          <w:b/>
          <w:color w:val="231F20"/>
          <w:sz w:val="24"/>
        </w:rPr>
        <w:t>informed</w:t>
      </w:r>
      <w:r>
        <w:rPr>
          <w:b/>
          <w:color w:val="231F20"/>
          <w:spacing w:val="-4"/>
          <w:sz w:val="24"/>
        </w:rPr>
        <w:t> </w:t>
      </w:r>
      <w:r>
        <w:rPr>
          <w:b/>
          <w:color w:val="231F20"/>
          <w:sz w:val="24"/>
        </w:rPr>
        <w:t>electorate,</w:t>
      </w:r>
      <w:r>
        <w:rPr>
          <w:b/>
          <w:color w:val="231F20"/>
          <w:spacing w:val="-4"/>
          <w:sz w:val="24"/>
        </w:rPr>
        <w:t> </w:t>
      </w:r>
      <w:r>
        <w:rPr>
          <w:b/>
          <w:color w:val="231F20"/>
          <w:sz w:val="24"/>
        </w:rPr>
        <w:t>it</w:t>
      </w:r>
      <w:r>
        <w:rPr>
          <w:b/>
          <w:color w:val="231F20"/>
          <w:spacing w:val="-5"/>
          <w:sz w:val="24"/>
        </w:rPr>
        <w:t> </w:t>
      </w:r>
      <w:r>
        <w:rPr>
          <w:b/>
          <w:color w:val="231F20"/>
          <w:sz w:val="24"/>
        </w:rPr>
        <w:t>is</w:t>
      </w:r>
      <w:r>
        <w:rPr>
          <w:b/>
          <w:color w:val="231F20"/>
          <w:spacing w:val="-4"/>
          <w:sz w:val="24"/>
        </w:rPr>
        <w:t> </w:t>
      </w:r>
      <w:r>
        <w:rPr>
          <w:b/>
          <w:color w:val="231F20"/>
          <w:sz w:val="24"/>
        </w:rPr>
        <w:t>declared</w:t>
      </w:r>
      <w:r>
        <w:rPr>
          <w:b/>
          <w:color w:val="231F20"/>
          <w:spacing w:val="-4"/>
          <w:sz w:val="24"/>
        </w:rPr>
        <w:t> </w:t>
      </w:r>
      <w:r>
        <w:rPr>
          <w:b/>
          <w:color w:val="231F20"/>
          <w:sz w:val="24"/>
        </w:rPr>
        <w:t>to be public policy of this state that all persons are entitled to the greatest</w:t>
      </w:r>
      <w:r>
        <w:rPr>
          <w:b/>
          <w:color w:val="231F20"/>
          <w:sz w:val="24"/>
        </w:rPr>
        <w:t> possible information regarding the affairs of government</w:t>
      </w:r>
      <w:r>
        <w:rPr>
          <w:b/>
          <w:color w:val="231F20"/>
          <w:sz w:val="24"/>
        </w:rPr>
        <w:t> and the official acts of those officers and employees who represent them. The formation of public policy or the conduct</w:t>
      </w:r>
      <w:r>
        <w:rPr>
          <w:b/>
          <w:color w:val="231F20"/>
          <w:sz w:val="24"/>
        </w:rPr>
        <w:t> of</w:t>
      </w:r>
      <w:r>
        <w:rPr>
          <w:b/>
          <w:color w:val="231F20"/>
          <w:sz w:val="24"/>
        </w:rPr>
        <w:t> business by vote shall not</w:t>
      </w:r>
      <w:r>
        <w:rPr>
          <w:b/>
          <w:color w:val="231F20"/>
          <w:sz w:val="24"/>
        </w:rPr>
        <w:t> be conducted in closed meetings. All meetings</w:t>
      </w:r>
      <w:r>
        <w:rPr>
          <w:b/>
          <w:color w:val="231F20"/>
          <w:spacing w:val="40"/>
          <w:sz w:val="24"/>
        </w:rPr>
        <w:t> </w:t>
      </w:r>
      <w:r>
        <w:rPr>
          <w:b/>
          <w:color w:val="231F20"/>
          <w:sz w:val="24"/>
        </w:rPr>
        <w:t>of any</w:t>
      </w:r>
      <w:r>
        <w:rPr>
          <w:b/>
          <w:color w:val="231F20"/>
          <w:spacing w:val="-2"/>
          <w:sz w:val="24"/>
        </w:rPr>
        <w:t> </w:t>
      </w:r>
      <w:r>
        <w:rPr>
          <w:b/>
          <w:color w:val="231F20"/>
          <w:sz w:val="24"/>
        </w:rPr>
        <w:t>public</w:t>
      </w:r>
      <w:r>
        <w:rPr>
          <w:b/>
          <w:color w:val="231F20"/>
          <w:spacing w:val="-2"/>
          <w:sz w:val="24"/>
        </w:rPr>
        <w:t> </w:t>
      </w:r>
      <w:r>
        <w:rPr>
          <w:b/>
          <w:color w:val="231F20"/>
          <w:sz w:val="24"/>
        </w:rPr>
        <w:t>body</w:t>
      </w:r>
      <w:r>
        <w:rPr>
          <w:b/>
          <w:color w:val="231F20"/>
          <w:spacing w:val="-2"/>
          <w:sz w:val="24"/>
        </w:rPr>
        <w:t> </w:t>
      </w:r>
      <w:r>
        <w:rPr>
          <w:b/>
          <w:color w:val="231F20"/>
          <w:sz w:val="24"/>
        </w:rPr>
        <w:t>except</w:t>
      </w:r>
      <w:r>
        <w:rPr>
          <w:b/>
          <w:color w:val="231F20"/>
          <w:spacing w:val="-2"/>
          <w:sz w:val="24"/>
        </w:rPr>
        <w:t> </w:t>
      </w:r>
      <w:r>
        <w:rPr>
          <w:b/>
          <w:color w:val="231F20"/>
          <w:sz w:val="24"/>
        </w:rPr>
        <w:t>the</w:t>
      </w:r>
      <w:r>
        <w:rPr>
          <w:b/>
          <w:color w:val="231F20"/>
          <w:spacing w:val="-2"/>
          <w:sz w:val="24"/>
        </w:rPr>
        <w:t> </w:t>
      </w:r>
      <w:r>
        <w:rPr>
          <w:b/>
          <w:color w:val="231F20"/>
          <w:sz w:val="24"/>
        </w:rPr>
        <w:t>legislature</w:t>
      </w:r>
      <w:r>
        <w:rPr>
          <w:b/>
          <w:color w:val="231F20"/>
          <w:spacing w:val="-2"/>
          <w:sz w:val="24"/>
        </w:rPr>
        <w:t> </w:t>
      </w:r>
      <w:r>
        <w:rPr>
          <w:b/>
          <w:color w:val="231F20"/>
          <w:sz w:val="24"/>
        </w:rPr>
        <w:t>and the courts shall be public meetings, and all persons desiring</w:t>
      </w:r>
      <w:r>
        <w:rPr>
          <w:b/>
          <w:color w:val="231F20"/>
          <w:spacing w:val="-1"/>
          <w:sz w:val="24"/>
        </w:rPr>
        <w:t> </w:t>
      </w:r>
      <w:r>
        <w:rPr>
          <w:b/>
          <w:color w:val="231F20"/>
          <w:sz w:val="24"/>
        </w:rPr>
        <w:t>shall be</w:t>
      </w:r>
      <w:r>
        <w:rPr>
          <w:b/>
          <w:color w:val="231F20"/>
          <w:spacing w:val="-2"/>
          <w:sz w:val="24"/>
        </w:rPr>
        <w:t> </w:t>
      </w:r>
      <w:r>
        <w:rPr>
          <w:b/>
          <w:color w:val="231F20"/>
          <w:sz w:val="24"/>
        </w:rPr>
        <w:t>permitted to</w:t>
      </w:r>
      <w:r>
        <w:rPr>
          <w:b/>
          <w:color w:val="231F20"/>
          <w:spacing w:val="-1"/>
          <w:sz w:val="24"/>
        </w:rPr>
        <w:t> </w:t>
      </w:r>
      <w:r>
        <w:rPr>
          <w:b/>
          <w:color w:val="231F20"/>
          <w:sz w:val="24"/>
        </w:rPr>
        <w:t>attend and listen to the deliberations and proceedings. Reasonable efforts shall be made to accommodate the use of audio and video recording devices.</w:t>
      </w:r>
    </w:p>
    <w:p>
      <w:pPr>
        <w:pStyle w:val="BodyText"/>
        <w:spacing w:before="1"/>
        <w:rPr>
          <w:b/>
        </w:rPr>
      </w:pPr>
    </w:p>
    <w:p>
      <w:pPr>
        <w:pStyle w:val="ListParagraph"/>
        <w:numPr>
          <w:ilvl w:val="1"/>
          <w:numId w:val="3"/>
        </w:numPr>
        <w:tabs>
          <w:tab w:pos="790" w:val="left" w:leader="none"/>
        </w:tabs>
        <w:spacing w:line="240" w:lineRule="auto" w:before="0" w:after="0"/>
        <w:ind w:left="475" w:right="39" w:firstLine="0"/>
        <w:jc w:val="both"/>
        <w:rPr>
          <w:b/>
          <w:sz w:val="24"/>
        </w:rPr>
      </w:pPr>
      <w:r>
        <w:rPr>
          <w:b/>
          <w:color w:val="231F20"/>
          <w:sz w:val="24"/>
        </w:rPr>
        <w:t>All meetings of a quorum</w:t>
      </w:r>
      <w:r>
        <w:rPr>
          <w:b/>
          <w:color w:val="231F20"/>
          <w:sz w:val="24"/>
        </w:rPr>
        <w:t> of</w:t>
      </w:r>
      <w:r>
        <w:rPr>
          <w:b/>
          <w:color w:val="231F20"/>
          <w:sz w:val="24"/>
        </w:rPr>
        <w:t> members of any board, commission, administrative adjudicatory body or other policymaking body of any state</w:t>
      </w:r>
      <w:r>
        <w:rPr>
          <w:b/>
          <w:color w:val="231F20"/>
          <w:sz w:val="24"/>
        </w:rPr>
        <w:t> agency, any agency or authority</w:t>
      </w:r>
      <w:r>
        <w:rPr>
          <w:b/>
          <w:color w:val="231F20"/>
          <w:spacing w:val="-6"/>
          <w:sz w:val="24"/>
        </w:rPr>
        <w:t> </w:t>
      </w:r>
      <w:r>
        <w:rPr>
          <w:b/>
          <w:color w:val="231F20"/>
          <w:sz w:val="24"/>
        </w:rPr>
        <w:t>of</w:t>
      </w:r>
      <w:r>
        <w:rPr>
          <w:b/>
          <w:color w:val="231F20"/>
          <w:spacing w:val="-4"/>
          <w:sz w:val="24"/>
        </w:rPr>
        <w:t> </w:t>
      </w:r>
      <w:r>
        <w:rPr>
          <w:b/>
          <w:color w:val="231F20"/>
          <w:sz w:val="24"/>
        </w:rPr>
        <w:t>any</w:t>
      </w:r>
      <w:r>
        <w:rPr>
          <w:b/>
          <w:color w:val="231F20"/>
          <w:spacing w:val="-6"/>
          <w:sz w:val="24"/>
        </w:rPr>
        <w:t> </w:t>
      </w:r>
      <w:r>
        <w:rPr>
          <w:b/>
          <w:color w:val="231F20"/>
          <w:sz w:val="24"/>
        </w:rPr>
        <w:t>county,</w:t>
      </w:r>
      <w:r>
        <w:rPr>
          <w:b/>
          <w:color w:val="231F20"/>
          <w:spacing w:val="-6"/>
          <w:sz w:val="24"/>
        </w:rPr>
        <w:t> </w:t>
      </w:r>
      <w:r>
        <w:rPr>
          <w:b/>
          <w:color w:val="231F20"/>
          <w:sz w:val="24"/>
        </w:rPr>
        <w:t>municipality,</w:t>
      </w:r>
      <w:r>
        <w:rPr>
          <w:b/>
          <w:color w:val="231F20"/>
          <w:spacing w:val="-6"/>
          <w:sz w:val="24"/>
        </w:rPr>
        <w:t> </w:t>
      </w:r>
      <w:r>
        <w:rPr>
          <w:b/>
          <w:color w:val="231F20"/>
          <w:sz w:val="24"/>
        </w:rPr>
        <w:t>district or</w:t>
      </w:r>
      <w:r>
        <w:rPr>
          <w:b/>
          <w:color w:val="231F20"/>
          <w:sz w:val="24"/>
        </w:rPr>
        <w:t> any political subdivision, held for the purpose of formulating public policy, including the development of personnel policy, rules, regulations or ordinances, discussing public business or for the purpose of taking any action within the authority of</w:t>
      </w:r>
      <w:r>
        <w:rPr>
          <w:b/>
          <w:color w:val="231F20"/>
          <w:spacing w:val="40"/>
          <w:sz w:val="24"/>
        </w:rPr>
        <w:t> </w:t>
      </w:r>
      <w:r>
        <w:rPr>
          <w:b/>
          <w:color w:val="231F20"/>
          <w:sz w:val="24"/>
        </w:rPr>
        <w:t>or the delegated authority of any board, commission or other policymaking body are declared to be public meetings open to the public at all times, except as otherwise provided in the constitution of New Mexico</w:t>
      </w:r>
      <w:r>
        <w:rPr>
          <w:b/>
          <w:color w:val="231F20"/>
          <w:spacing w:val="40"/>
          <w:sz w:val="24"/>
        </w:rPr>
        <w:t> </w:t>
      </w:r>
      <w:r>
        <w:rPr>
          <w:b/>
          <w:color w:val="231F20"/>
          <w:sz w:val="24"/>
        </w:rPr>
        <w:t>or the Open Meetings Act.</w:t>
      </w:r>
      <w:r>
        <w:rPr>
          <w:b/>
          <w:color w:val="231F20"/>
          <w:spacing w:val="80"/>
          <w:sz w:val="24"/>
        </w:rPr>
        <w:t> </w:t>
      </w:r>
      <w:r>
        <w:rPr>
          <w:b/>
          <w:color w:val="231F20"/>
          <w:sz w:val="24"/>
        </w:rPr>
        <w:t>No public</w:t>
      </w:r>
      <w:r>
        <w:rPr>
          <w:b/>
          <w:color w:val="231F20"/>
          <w:spacing w:val="40"/>
          <w:sz w:val="24"/>
        </w:rPr>
        <w:t> </w:t>
      </w:r>
      <w:r>
        <w:rPr>
          <w:b/>
          <w:color w:val="231F20"/>
          <w:sz w:val="24"/>
        </w:rPr>
        <w:t>meeting once convened that is otherwise required to be open pursuant to the Open Meetings Act shall be closed or dissolved into small</w:t>
      </w:r>
      <w:r>
        <w:rPr>
          <w:b/>
          <w:color w:val="231F20"/>
          <w:sz w:val="24"/>
        </w:rPr>
        <w:t> groups or committees for the purpose</w:t>
      </w:r>
      <w:r>
        <w:rPr>
          <w:b/>
          <w:color w:val="231F20"/>
          <w:spacing w:val="40"/>
          <w:sz w:val="24"/>
        </w:rPr>
        <w:t> </w:t>
      </w:r>
      <w:r>
        <w:rPr>
          <w:b/>
          <w:color w:val="231F20"/>
          <w:sz w:val="24"/>
        </w:rPr>
        <w:t>of permitting the closing of the meeting.</w:t>
      </w:r>
    </w:p>
    <w:p>
      <w:pPr>
        <w:pStyle w:val="BodyText"/>
        <w:rPr>
          <w:b/>
        </w:rPr>
      </w:pPr>
    </w:p>
    <w:p>
      <w:pPr>
        <w:pStyle w:val="ListParagraph"/>
        <w:numPr>
          <w:ilvl w:val="1"/>
          <w:numId w:val="3"/>
        </w:numPr>
        <w:tabs>
          <w:tab w:pos="768" w:val="left" w:leader="none"/>
        </w:tabs>
        <w:spacing w:line="240" w:lineRule="auto" w:before="0" w:after="0"/>
        <w:ind w:left="475" w:right="44" w:firstLine="0"/>
        <w:jc w:val="both"/>
        <w:rPr>
          <w:b/>
          <w:sz w:val="24"/>
        </w:rPr>
      </w:pPr>
      <w:r>
        <w:rPr>
          <w:b/>
          <w:color w:val="231F20"/>
          <w:sz w:val="24"/>
        </w:rPr>
        <w:t>If otherwise allowed by law or rule of the public</w:t>
      </w:r>
      <w:r>
        <w:rPr>
          <w:b/>
          <w:color w:val="231F20"/>
          <w:spacing w:val="8"/>
          <w:sz w:val="24"/>
        </w:rPr>
        <w:t> </w:t>
      </w:r>
      <w:r>
        <w:rPr>
          <w:b/>
          <w:color w:val="231F20"/>
          <w:sz w:val="24"/>
        </w:rPr>
        <w:t>body,</w:t>
      </w:r>
      <w:r>
        <w:rPr>
          <w:b/>
          <w:color w:val="231F20"/>
          <w:spacing w:val="9"/>
          <w:sz w:val="24"/>
        </w:rPr>
        <w:t> </w:t>
      </w:r>
      <w:r>
        <w:rPr>
          <w:b/>
          <w:color w:val="231F20"/>
          <w:sz w:val="24"/>
        </w:rPr>
        <w:t>a</w:t>
      </w:r>
      <w:r>
        <w:rPr>
          <w:b/>
          <w:color w:val="231F20"/>
          <w:spacing w:val="10"/>
          <w:sz w:val="24"/>
        </w:rPr>
        <w:t> </w:t>
      </w:r>
      <w:r>
        <w:rPr>
          <w:b/>
          <w:color w:val="231F20"/>
          <w:sz w:val="24"/>
        </w:rPr>
        <w:t>member</w:t>
      </w:r>
      <w:r>
        <w:rPr>
          <w:b/>
          <w:color w:val="231F20"/>
          <w:spacing w:val="10"/>
          <w:sz w:val="24"/>
        </w:rPr>
        <w:t> </w:t>
      </w:r>
      <w:r>
        <w:rPr>
          <w:b/>
          <w:color w:val="231F20"/>
          <w:sz w:val="24"/>
        </w:rPr>
        <w:t>of</w:t>
      </w:r>
      <w:r>
        <w:rPr>
          <w:b/>
          <w:color w:val="231F20"/>
          <w:spacing w:val="11"/>
          <w:sz w:val="24"/>
        </w:rPr>
        <w:t> </w:t>
      </w:r>
      <w:r>
        <w:rPr>
          <w:b/>
          <w:color w:val="231F20"/>
          <w:sz w:val="24"/>
        </w:rPr>
        <w:t>a</w:t>
      </w:r>
      <w:r>
        <w:rPr>
          <w:b/>
          <w:color w:val="231F20"/>
          <w:spacing w:val="10"/>
          <w:sz w:val="24"/>
        </w:rPr>
        <w:t> </w:t>
      </w:r>
      <w:r>
        <w:rPr>
          <w:b/>
          <w:color w:val="231F20"/>
          <w:sz w:val="24"/>
        </w:rPr>
        <w:t>public</w:t>
      </w:r>
      <w:r>
        <w:rPr>
          <w:b/>
          <w:color w:val="231F20"/>
          <w:spacing w:val="8"/>
          <w:sz w:val="24"/>
        </w:rPr>
        <w:t> </w:t>
      </w:r>
      <w:r>
        <w:rPr>
          <w:b/>
          <w:color w:val="231F20"/>
          <w:sz w:val="24"/>
        </w:rPr>
        <w:t>body</w:t>
      </w:r>
      <w:r>
        <w:rPr>
          <w:b/>
          <w:color w:val="231F20"/>
          <w:spacing w:val="10"/>
          <w:sz w:val="24"/>
        </w:rPr>
        <w:t> </w:t>
      </w:r>
      <w:r>
        <w:rPr>
          <w:b/>
          <w:color w:val="231F20"/>
          <w:spacing w:val="-5"/>
          <w:sz w:val="24"/>
        </w:rPr>
        <w:t>may</w:t>
      </w:r>
    </w:p>
    <w:p>
      <w:pPr>
        <w:spacing w:before="90"/>
        <w:ind w:left="484" w:right="594" w:firstLine="0"/>
        <w:jc w:val="both"/>
        <w:rPr>
          <w:b/>
          <w:sz w:val="24"/>
        </w:rPr>
      </w:pPr>
      <w:r>
        <w:rPr/>
        <w:br w:type="column"/>
      </w:r>
      <w:r>
        <w:rPr>
          <w:b/>
          <w:color w:val="231F20"/>
          <w:sz w:val="24"/>
        </w:rPr>
        <w:t>participate</w:t>
      </w:r>
      <w:r>
        <w:rPr>
          <w:b/>
          <w:color w:val="231F20"/>
          <w:spacing w:val="-3"/>
          <w:sz w:val="24"/>
        </w:rPr>
        <w:t> </w:t>
      </w:r>
      <w:r>
        <w:rPr>
          <w:b/>
          <w:color w:val="231F20"/>
          <w:sz w:val="24"/>
        </w:rPr>
        <w:t>in a meeting</w:t>
      </w:r>
      <w:r>
        <w:rPr>
          <w:b/>
          <w:color w:val="231F20"/>
          <w:spacing w:val="-1"/>
          <w:sz w:val="24"/>
        </w:rPr>
        <w:t> </w:t>
      </w:r>
      <w:r>
        <w:rPr>
          <w:b/>
          <w:color w:val="231F20"/>
          <w:sz w:val="24"/>
        </w:rPr>
        <w:t>of the</w:t>
      </w:r>
      <w:r>
        <w:rPr>
          <w:b/>
          <w:color w:val="231F20"/>
          <w:spacing w:val="-2"/>
          <w:sz w:val="24"/>
        </w:rPr>
        <w:t> </w:t>
      </w:r>
      <w:r>
        <w:rPr>
          <w:b/>
          <w:color w:val="231F20"/>
          <w:sz w:val="24"/>
        </w:rPr>
        <w:t>public</w:t>
      </w:r>
      <w:r>
        <w:rPr>
          <w:b/>
          <w:color w:val="231F20"/>
          <w:spacing w:val="-2"/>
          <w:sz w:val="24"/>
        </w:rPr>
        <w:t> </w:t>
      </w:r>
      <w:r>
        <w:rPr>
          <w:b/>
          <w:color w:val="231F20"/>
          <w:sz w:val="24"/>
        </w:rPr>
        <w:t>body</w:t>
      </w:r>
      <w:r>
        <w:rPr>
          <w:b/>
          <w:color w:val="231F20"/>
          <w:spacing w:val="-1"/>
          <w:sz w:val="24"/>
        </w:rPr>
        <w:t> </w:t>
      </w:r>
      <w:r>
        <w:rPr>
          <w:b/>
          <w:color w:val="231F20"/>
          <w:sz w:val="24"/>
        </w:rPr>
        <w:t>by means of a conference</w:t>
      </w:r>
      <w:r>
        <w:rPr>
          <w:b/>
          <w:color w:val="231F20"/>
          <w:sz w:val="24"/>
        </w:rPr>
        <w:t> telephone or other similar</w:t>
      </w:r>
      <w:r>
        <w:rPr>
          <w:b/>
          <w:color w:val="231F20"/>
          <w:spacing w:val="-1"/>
          <w:sz w:val="24"/>
        </w:rPr>
        <w:t> </w:t>
      </w:r>
      <w:r>
        <w:rPr>
          <w:b/>
          <w:color w:val="231F20"/>
          <w:sz w:val="24"/>
        </w:rPr>
        <w:t>communications equipment</w:t>
      </w:r>
      <w:r>
        <w:rPr>
          <w:b/>
          <w:color w:val="231F20"/>
          <w:spacing w:val="-1"/>
          <w:sz w:val="24"/>
        </w:rPr>
        <w:t> </w:t>
      </w:r>
      <w:r>
        <w:rPr>
          <w:b/>
          <w:color w:val="231F20"/>
          <w:sz w:val="24"/>
        </w:rPr>
        <w:t>when it</w:t>
      </w:r>
      <w:r>
        <w:rPr>
          <w:b/>
          <w:color w:val="231F20"/>
          <w:spacing w:val="-1"/>
          <w:sz w:val="24"/>
        </w:rPr>
        <w:t> </w:t>
      </w:r>
      <w:r>
        <w:rPr>
          <w:b/>
          <w:color w:val="231F20"/>
          <w:sz w:val="24"/>
        </w:rPr>
        <w:t>is otherwise difficult or impossible for the member to attend the meeting in person, provided that each member participating by conference</w:t>
      </w:r>
      <w:r>
        <w:rPr>
          <w:b/>
          <w:color w:val="231F20"/>
          <w:sz w:val="24"/>
        </w:rPr>
        <w:t> telephone can be identified when speaking, all participants are able to hear each other at the same time and members of the public attending the meeting are able to hear any member of the public body who speaks during the meeting.</w:t>
      </w:r>
    </w:p>
    <w:p>
      <w:pPr>
        <w:pStyle w:val="BodyText"/>
        <w:rPr>
          <w:b/>
          <w:sz w:val="28"/>
        </w:rPr>
      </w:pPr>
    </w:p>
    <w:p>
      <w:pPr>
        <w:pStyle w:val="ListParagraph"/>
        <w:numPr>
          <w:ilvl w:val="1"/>
          <w:numId w:val="3"/>
        </w:numPr>
        <w:tabs>
          <w:tab w:pos="821" w:val="left" w:leader="none"/>
        </w:tabs>
        <w:spacing w:line="240" w:lineRule="auto" w:before="0" w:after="0"/>
        <w:ind w:left="484" w:right="593" w:firstLine="0"/>
        <w:jc w:val="both"/>
        <w:rPr>
          <w:b/>
          <w:sz w:val="24"/>
        </w:rPr>
      </w:pPr>
      <w:r>
        <w:rPr>
          <w:b/>
          <w:color w:val="231F20"/>
          <w:sz w:val="24"/>
        </w:rPr>
        <w:t>Any meetings at which the discussion or adoption of any proposed resolution, rule, regulation or formal action occurs and at which a majority or quorum of the body is in attendance, and any closed meetings, shall be held only after reasonable notice to the public. The affected body shall determine at least</w:t>
      </w:r>
      <w:r>
        <w:rPr>
          <w:b/>
          <w:color w:val="231F20"/>
          <w:spacing w:val="-5"/>
          <w:sz w:val="24"/>
        </w:rPr>
        <w:t> </w:t>
      </w:r>
      <w:r>
        <w:rPr>
          <w:b/>
          <w:color w:val="231F20"/>
          <w:sz w:val="24"/>
        </w:rPr>
        <w:t>annually</w:t>
      </w:r>
      <w:r>
        <w:rPr>
          <w:b/>
          <w:color w:val="231F20"/>
          <w:spacing w:val="-4"/>
          <w:sz w:val="24"/>
        </w:rPr>
        <w:t> </w:t>
      </w:r>
      <w:r>
        <w:rPr>
          <w:b/>
          <w:color w:val="231F20"/>
          <w:sz w:val="24"/>
        </w:rPr>
        <w:t>in</w:t>
      </w:r>
      <w:r>
        <w:rPr>
          <w:b/>
          <w:color w:val="231F20"/>
          <w:spacing w:val="-4"/>
          <w:sz w:val="24"/>
        </w:rPr>
        <w:t> </w:t>
      </w:r>
      <w:r>
        <w:rPr>
          <w:b/>
          <w:color w:val="231F20"/>
          <w:sz w:val="24"/>
        </w:rPr>
        <w:t>a</w:t>
      </w:r>
      <w:r>
        <w:rPr>
          <w:b/>
          <w:color w:val="231F20"/>
          <w:spacing w:val="-4"/>
          <w:sz w:val="24"/>
        </w:rPr>
        <w:t> </w:t>
      </w:r>
      <w:r>
        <w:rPr>
          <w:b/>
          <w:color w:val="231F20"/>
          <w:sz w:val="24"/>
        </w:rPr>
        <w:t>public</w:t>
      </w:r>
      <w:r>
        <w:rPr>
          <w:b/>
          <w:color w:val="231F20"/>
          <w:spacing w:val="-3"/>
          <w:sz w:val="24"/>
        </w:rPr>
        <w:t> </w:t>
      </w:r>
      <w:r>
        <w:rPr>
          <w:b/>
          <w:color w:val="231F20"/>
          <w:sz w:val="24"/>
        </w:rPr>
        <w:t>meeting</w:t>
      </w:r>
      <w:r>
        <w:rPr>
          <w:b/>
          <w:color w:val="231F20"/>
          <w:spacing w:val="-4"/>
          <w:sz w:val="24"/>
        </w:rPr>
        <w:t> </w:t>
      </w:r>
      <w:r>
        <w:rPr>
          <w:b/>
          <w:color w:val="231F20"/>
          <w:sz w:val="24"/>
        </w:rPr>
        <w:t>what</w:t>
      </w:r>
      <w:r>
        <w:rPr>
          <w:b/>
          <w:color w:val="231F20"/>
          <w:spacing w:val="-5"/>
          <w:sz w:val="24"/>
        </w:rPr>
        <w:t> </w:t>
      </w:r>
      <w:r>
        <w:rPr>
          <w:b/>
          <w:color w:val="231F20"/>
          <w:sz w:val="24"/>
        </w:rPr>
        <w:t>notice for a public meeting is reasonable when applied to that</w:t>
      </w:r>
      <w:r>
        <w:rPr>
          <w:b/>
          <w:color w:val="231F20"/>
          <w:sz w:val="24"/>
        </w:rPr>
        <w:t> body. That</w:t>
      </w:r>
      <w:r>
        <w:rPr>
          <w:b/>
          <w:color w:val="231F20"/>
          <w:sz w:val="24"/>
        </w:rPr>
        <w:t> notice</w:t>
      </w:r>
      <w:r>
        <w:rPr>
          <w:b/>
          <w:color w:val="231F20"/>
          <w:sz w:val="24"/>
        </w:rPr>
        <w:t> shall</w:t>
      </w:r>
      <w:r>
        <w:rPr>
          <w:b/>
          <w:color w:val="231F20"/>
          <w:spacing w:val="40"/>
          <w:sz w:val="24"/>
        </w:rPr>
        <w:t> </w:t>
      </w:r>
      <w:r>
        <w:rPr>
          <w:b/>
          <w:color w:val="231F20"/>
          <w:sz w:val="24"/>
        </w:rPr>
        <w:t>include broadcast</w:t>
      </w:r>
      <w:r>
        <w:rPr>
          <w:b/>
          <w:color w:val="231F20"/>
          <w:sz w:val="24"/>
        </w:rPr>
        <w:t> stations licensed by the federal communications commission and newspapers of general circulation that have provided a written request for such notice.</w:t>
      </w:r>
    </w:p>
    <w:p>
      <w:pPr>
        <w:pStyle w:val="BodyText"/>
        <w:rPr>
          <w:b/>
          <w:sz w:val="28"/>
        </w:rPr>
      </w:pPr>
    </w:p>
    <w:p>
      <w:pPr>
        <w:pStyle w:val="ListParagraph"/>
        <w:numPr>
          <w:ilvl w:val="1"/>
          <w:numId w:val="3"/>
        </w:numPr>
        <w:tabs>
          <w:tab w:pos="773" w:val="left" w:leader="none"/>
        </w:tabs>
        <w:spacing w:line="240" w:lineRule="auto" w:before="0" w:after="0"/>
        <w:ind w:left="484" w:right="594" w:firstLine="0"/>
        <w:jc w:val="both"/>
        <w:rPr>
          <w:b/>
          <w:sz w:val="24"/>
        </w:rPr>
      </w:pPr>
      <w:r>
        <w:rPr>
          <w:b/>
          <w:color w:val="231F20"/>
          <w:sz w:val="24"/>
        </w:rPr>
        <w:t>A public body may recess and reconvene a meeting to a day subsequent to that stated in the meeting notice if, prior to recessing, the public body specifies the date, time and place for continuation of the meeting, and, immediately following the recessed meeting, posts notice</w:t>
      </w:r>
      <w:r>
        <w:rPr>
          <w:b/>
          <w:color w:val="231F20"/>
          <w:sz w:val="24"/>
        </w:rPr>
        <w:t> of</w:t>
      </w:r>
      <w:r>
        <w:rPr>
          <w:b/>
          <w:color w:val="231F20"/>
          <w:sz w:val="24"/>
        </w:rPr>
        <w:t> the date,</w:t>
      </w:r>
      <w:r>
        <w:rPr>
          <w:b/>
          <w:color w:val="231F20"/>
          <w:sz w:val="24"/>
        </w:rPr>
        <w:t> time</w:t>
      </w:r>
      <w:r>
        <w:rPr>
          <w:b/>
          <w:color w:val="231F20"/>
          <w:sz w:val="24"/>
        </w:rPr>
        <w:t> and place for</w:t>
      </w:r>
      <w:r>
        <w:rPr>
          <w:b/>
          <w:color w:val="231F20"/>
          <w:spacing w:val="40"/>
          <w:sz w:val="24"/>
        </w:rPr>
        <w:t> </w:t>
      </w:r>
      <w:r>
        <w:rPr>
          <w:b/>
          <w:color w:val="231F20"/>
          <w:sz w:val="24"/>
        </w:rPr>
        <w:t>the reconvened meeting on or near the door of the place where the original meeting was held and in at least</w:t>
      </w:r>
      <w:r>
        <w:rPr>
          <w:b/>
          <w:color w:val="231F20"/>
          <w:sz w:val="24"/>
        </w:rPr>
        <w:t> one other location appropriate to provide public notice</w:t>
      </w:r>
      <w:r>
        <w:rPr>
          <w:b/>
          <w:color w:val="231F20"/>
          <w:sz w:val="24"/>
        </w:rPr>
        <w:t> of</w:t>
      </w:r>
      <w:r>
        <w:rPr>
          <w:b/>
          <w:color w:val="231F20"/>
          <w:sz w:val="24"/>
        </w:rPr>
        <w:t> the continuation of the meeting.</w:t>
      </w:r>
      <w:r>
        <w:rPr>
          <w:b/>
          <w:color w:val="231F20"/>
          <w:spacing w:val="40"/>
          <w:sz w:val="24"/>
        </w:rPr>
        <w:t> </w:t>
      </w:r>
      <w:r>
        <w:rPr>
          <w:b/>
          <w:color w:val="231F20"/>
          <w:sz w:val="24"/>
        </w:rPr>
        <w:t>Only matters appearing on the agenda of the original meeting may be discussed at the reconvened </w:t>
      </w:r>
      <w:r>
        <w:rPr>
          <w:b/>
          <w:color w:val="231F20"/>
          <w:spacing w:val="-2"/>
          <w:sz w:val="24"/>
        </w:rPr>
        <w:t>meeting.</w:t>
      </w:r>
    </w:p>
    <w:p>
      <w:pPr>
        <w:pStyle w:val="BodyText"/>
        <w:rPr>
          <w:b/>
        </w:rPr>
      </w:pPr>
    </w:p>
    <w:p>
      <w:pPr>
        <w:pStyle w:val="ListParagraph"/>
        <w:numPr>
          <w:ilvl w:val="1"/>
          <w:numId w:val="3"/>
        </w:numPr>
        <w:tabs>
          <w:tab w:pos="802" w:val="left" w:leader="none"/>
        </w:tabs>
        <w:spacing w:line="240" w:lineRule="auto" w:before="0" w:after="0"/>
        <w:ind w:left="801" w:right="0" w:hanging="327"/>
        <w:jc w:val="both"/>
        <w:rPr>
          <w:b/>
          <w:sz w:val="24"/>
        </w:rPr>
      </w:pPr>
      <w:r>
        <w:rPr>
          <w:b/>
          <w:color w:val="231F20"/>
          <w:sz w:val="24"/>
        </w:rPr>
        <w:t>Meeting</w:t>
      </w:r>
      <w:r>
        <w:rPr>
          <w:b/>
          <w:color w:val="231F20"/>
          <w:spacing w:val="55"/>
          <w:sz w:val="24"/>
        </w:rPr>
        <w:t> </w:t>
      </w:r>
      <w:r>
        <w:rPr>
          <w:b/>
          <w:color w:val="231F20"/>
          <w:sz w:val="24"/>
        </w:rPr>
        <w:t>notices</w:t>
      </w:r>
      <w:r>
        <w:rPr>
          <w:b/>
          <w:color w:val="231F20"/>
          <w:spacing w:val="56"/>
          <w:sz w:val="24"/>
        </w:rPr>
        <w:t> </w:t>
      </w:r>
      <w:r>
        <w:rPr>
          <w:b/>
          <w:color w:val="231F20"/>
          <w:sz w:val="24"/>
        </w:rPr>
        <w:t>shall</w:t>
      </w:r>
      <w:r>
        <w:rPr>
          <w:b/>
          <w:color w:val="231F20"/>
          <w:spacing w:val="55"/>
          <w:sz w:val="24"/>
        </w:rPr>
        <w:t> </w:t>
      </w:r>
      <w:r>
        <w:rPr>
          <w:b/>
          <w:color w:val="231F20"/>
          <w:sz w:val="24"/>
        </w:rPr>
        <w:t>include</w:t>
      </w:r>
      <w:r>
        <w:rPr>
          <w:b/>
          <w:color w:val="231F20"/>
          <w:spacing w:val="55"/>
          <w:sz w:val="24"/>
        </w:rPr>
        <w:t> </w:t>
      </w:r>
      <w:r>
        <w:rPr>
          <w:b/>
          <w:color w:val="231F20"/>
          <w:sz w:val="24"/>
        </w:rPr>
        <w:t>an</w:t>
      </w:r>
      <w:r>
        <w:rPr>
          <w:b/>
          <w:color w:val="231F20"/>
          <w:spacing w:val="55"/>
          <w:sz w:val="24"/>
        </w:rPr>
        <w:t> </w:t>
      </w:r>
      <w:r>
        <w:rPr>
          <w:b/>
          <w:color w:val="231F20"/>
          <w:spacing w:val="-2"/>
          <w:sz w:val="24"/>
        </w:rPr>
        <w:t>agenda</w:t>
      </w:r>
    </w:p>
    <w:p>
      <w:pPr>
        <w:spacing w:after="0" w:line="240" w:lineRule="auto"/>
        <w:jc w:val="both"/>
        <w:rPr>
          <w:sz w:val="24"/>
        </w:rPr>
        <w:sectPr>
          <w:type w:val="continuous"/>
          <w:pgSz w:w="12240" w:h="15840"/>
          <w:pgMar w:header="660" w:footer="484" w:top="480" w:bottom="280" w:left="360" w:right="240"/>
          <w:cols w:num="2" w:equalWidth="0">
            <w:col w:w="5202" w:space="671"/>
            <w:col w:w="5767"/>
          </w:cols>
        </w:sectPr>
      </w:pPr>
    </w:p>
    <w:p>
      <w:pPr>
        <w:pStyle w:val="BodyText"/>
        <w:spacing w:before="1"/>
        <w:rPr>
          <w:b/>
          <w:sz w:val="16"/>
        </w:rPr>
      </w:pPr>
    </w:p>
    <w:p>
      <w:pPr>
        <w:spacing w:after="0"/>
        <w:rPr>
          <w:sz w:val="16"/>
        </w:rPr>
        <w:sectPr>
          <w:pgSz w:w="12240" w:h="15840"/>
          <w:pgMar w:header="660" w:footer="484" w:top="960" w:bottom="900" w:left="360" w:right="240"/>
        </w:sectPr>
      </w:pPr>
    </w:p>
    <w:p>
      <w:pPr>
        <w:spacing w:before="90"/>
        <w:ind w:left="475" w:right="38" w:firstLine="0"/>
        <w:jc w:val="both"/>
        <w:rPr>
          <w:b/>
          <w:sz w:val="24"/>
        </w:rPr>
      </w:pPr>
      <w:r>
        <w:rPr>
          <w:b/>
          <w:color w:val="231F20"/>
          <w:sz w:val="24"/>
        </w:rPr>
        <w:t>containing a list of</w:t>
      </w:r>
      <w:r>
        <w:rPr>
          <w:b/>
          <w:color w:val="231F20"/>
          <w:sz w:val="24"/>
        </w:rPr>
        <w:t> specific items of business to</w:t>
      </w:r>
      <w:r>
        <w:rPr>
          <w:b/>
          <w:color w:val="231F20"/>
          <w:sz w:val="24"/>
        </w:rPr>
        <w:t> be discussed or transacted at the meeting or information on how the public may obtain a copy of such an agenda. Except in the case of an emergency or in the case of a public body that ordinarily meets more frequently than once per week, at least</w:t>
      </w:r>
      <w:r>
        <w:rPr>
          <w:b/>
          <w:color w:val="231F20"/>
          <w:sz w:val="24"/>
        </w:rPr>
        <w:t> seventy-two hours (72) hours prior to the meeting, the agenda shall be available to the public and posted on the public body’s web site, if one is maintained. A public body that</w:t>
      </w:r>
      <w:r>
        <w:rPr>
          <w:b/>
          <w:color w:val="231F20"/>
          <w:sz w:val="24"/>
        </w:rPr>
        <w:t> ordinarily meets more frequently</w:t>
      </w:r>
      <w:r>
        <w:rPr>
          <w:b/>
          <w:color w:val="231F20"/>
          <w:sz w:val="24"/>
        </w:rPr>
        <w:t> than once per week shall</w:t>
      </w:r>
      <w:r>
        <w:rPr>
          <w:b/>
          <w:color w:val="231F20"/>
          <w:spacing w:val="10"/>
          <w:sz w:val="24"/>
        </w:rPr>
        <w:t> </w:t>
      </w:r>
      <w:r>
        <w:rPr>
          <w:b/>
          <w:color w:val="231F20"/>
          <w:sz w:val="24"/>
        </w:rPr>
        <w:t>post</w:t>
      </w:r>
      <w:r>
        <w:rPr>
          <w:b/>
          <w:color w:val="231F20"/>
          <w:spacing w:val="9"/>
          <w:sz w:val="24"/>
        </w:rPr>
        <w:t> </w:t>
      </w:r>
      <w:r>
        <w:rPr>
          <w:b/>
          <w:color w:val="231F20"/>
          <w:sz w:val="24"/>
        </w:rPr>
        <w:t>a</w:t>
      </w:r>
      <w:r>
        <w:rPr>
          <w:b/>
          <w:color w:val="231F20"/>
          <w:spacing w:val="9"/>
          <w:sz w:val="24"/>
        </w:rPr>
        <w:t> </w:t>
      </w:r>
      <w:r>
        <w:rPr>
          <w:b/>
          <w:color w:val="231F20"/>
          <w:sz w:val="24"/>
        </w:rPr>
        <w:t>draft</w:t>
      </w:r>
      <w:r>
        <w:rPr>
          <w:b/>
          <w:color w:val="231F20"/>
          <w:spacing w:val="10"/>
          <w:sz w:val="24"/>
        </w:rPr>
        <w:t> </w:t>
      </w:r>
      <w:r>
        <w:rPr>
          <w:b/>
          <w:color w:val="231F20"/>
          <w:sz w:val="24"/>
        </w:rPr>
        <w:t>agenda</w:t>
      </w:r>
      <w:r>
        <w:rPr>
          <w:b/>
          <w:color w:val="231F20"/>
          <w:spacing w:val="10"/>
          <w:sz w:val="24"/>
        </w:rPr>
        <w:t> </w:t>
      </w:r>
      <w:r>
        <w:rPr>
          <w:b/>
          <w:color w:val="231F20"/>
          <w:sz w:val="24"/>
        </w:rPr>
        <w:t>at</w:t>
      </w:r>
      <w:r>
        <w:rPr>
          <w:b/>
          <w:color w:val="231F20"/>
          <w:spacing w:val="9"/>
          <w:sz w:val="24"/>
        </w:rPr>
        <w:t> </w:t>
      </w:r>
      <w:r>
        <w:rPr>
          <w:b/>
          <w:color w:val="231F20"/>
          <w:sz w:val="24"/>
        </w:rPr>
        <w:t>least</w:t>
      </w:r>
      <w:r>
        <w:rPr>
          <w:b/>
          <w:color w:val="231F20"/>
          <w:spacing w:val="9"/>
          <w:sz w:val="24"/>
        </w:rPr>
        <w:t> </w:t>
      </w:r>
      <w:r>
        <w:rPr>
          <w:b/>
          <w:color w:val="231F20"/>
          <w:sz w:val="24"/>
        </w:rPr>
        <w:t>seventy-</w:t>
      </w:r>
      <w:r>
        <w:rPr>
          <w:b/>
          <w:color w:val="231F20"/>
          <w:spacing w:val="-5"/>
          <w:sz w:val="24"/>
        </w:rPr>
        <w:t>two</w:t>
      </w:r>
    </w:p>
    <w:p>
      <w:pPr>
        <w:spacing w:before="0"/>
        <w:ind w:left="475" w:right="38" w:firstLine="0"/>
        <w:jc w:val="both"/>
        <w:rPr>
          <w:b/>
          <w:sz w:val="24"/>
        </w:rPr>
      </w:pPr>
      <w:r>
        <w:rPr>
          <w:b/>
          <w:color w:val="231F20"/>
          <w:sz w:val="24"/>
        </w:rPr>
        <w:t>(72)</w:t>
      </w:r>
      <w:r>
        <w:rPr>
          <w:b/>
          <w:color w:val="231F20"/>
          <w:sz w:val="24"/>
        </w:rPr>
        <w:t> hours prior to the meeting and a final agenda at least thirty-six (36) hours prior to the meeting. Except for emergency matters, a public body shall take action only on items appearing on the agenda. For purposes of</w:t>
      </w:r>
      <w:r>
        <w:rPr>
          <w:b/>
          <w:color w:val="231F20"/>
          <w:spacing w:val="40"/>
          <w:sz w:val="24"/>
        </w:rPr>
        <w:t> </w:t>
      </w:r>
      <w:r>
        <w:rPr>
          <w:b/>
          <w:color w:val="231F20"/>
          <w:sz w:val="24"/>
        </w:rPr>
        <w:t>this Subsection, an “emergency” refers to unforeseen circumstances that, if not addressed immediately by the public body, will likely result</w:t>
      </w:r>
      <w:r>
        <w:rPr>
          <w:b/>
          <w:color w:val="231F20"/>
          <w:sz w:val="24"/>
        </w:rPr>
        <w:t> in injury or damage to persons or property or substantial financial loss to the public body. Within ten days of taking action on an emergency matter, the public body shall report to the attorney general’s office the action taken and the circumstances creating the emergency; provided that the requirement</w:t>
      </w:r>
      <w:r>
        <w:rPr>
          <w:b/>
          <w:color w:val="231F20"/>
          <w:sz w:val="24"/>
        </w:rPr>
        <w:t> to</w:t>
      </w:r>
      <w:r>
        <w:rPr>
          <w:b/>
          <w:color w:val="231F20"/>
          <w:sz w:val="24"/>
        </w:rPr>
        <w:t> report to</w:t>
      </w:r>
      <w:r>
        <w:rPr>
          <w:b/>
          <w:color w:val="231F20"/>
          <w:spacing w:val="40"/>
          <w:sz w:val="24"/>
        </w:rPr>
        <w:t> </w:t>
      </w:r>
      <w:r>
        <w:rPr>
          <w:b/>
          <w:color w:val="231F20"/>
          <w:sz w:val="24"/>
        </w:rPr>
        <w:t>the attorney general is waived upon the declaration of a state or national emergency.</w:t>
      </w:r>
    </w:p>
    <w:p>
      <w:pPr>
        <w:pStyle w:val="BodyText"/>
        <w:rPr>
          <w:b/>
          <w:sz w:val="28"/>
        </w:rPr>
      </w:pPr>
    </w:p>
    <w:p>
      <w:pPr>
        <w:pStyle w:val="ListParagraph"/>
        <w:numPr>
          <w:ilvl w:val="1"/>
          <w:numId w:val="3"/>
        </w:numPr>
        <w:tabs>
          <w:tab w:pos="992" w:val="left" w:leader="none"/>
        </w:tabs>
        <w:spacing w:line="240" w:lineRule="auto" w:before="0" w:after="0"/>
        <w:ind w:left="475" w:right="39" w:hanging="10"/>
        <w:jc w:val="both"/>
        <w:rPr>
          <w:b/>
          <w:sz w:val="24"/>
        </w:rPr>
      </w:pPr>
      <w:r>
        <w:rPr>
          <w:b/>
          <w:color w:val="231F20"/>
          <w:sz w:val="24"/>
        </w:rPr>
        <w:t>The board, commission or other policymaking body shall keep written</w:t>
      </w:r>
      <w:r>
        <w:rPr>
          <w:b/>
          <w:color w:val="231F20"/>
          <w:spacing w:val="40"/>
          <w:sz w:val="24"/>
        </w:rPr>
        <w:t> </w:t>
      </w:r>
      <w:r>
        <w:rPr>
          <w:b/>
          <w:color w:val="231F20"/>
          <w:sz w:val="24"/>
        </w:rPr>
        <w:t>minutes of all its meetings. The minutes shall include at a minimum</w:t>
      </w:r>
      <w:r>
        <w:rPr>
          <w:b/>
          <w:color w:val="231F20"/>
          <w:sz w:val="24"/>
        </w:rPr>
        <w:t> the date,</w:t>
      </w:r>
      <w:r>
        <w:rPr>
          <w:b/>
          <w:color w:val="231F20"/>
          <w:sz w:val="24"/>
        </w:rPr>
        <w:t> time</w:t>
      </w:r>
      <w:r>
        <w:rPr>
          <w:b/>
          <w:color w:val="231F20"/>
          <w:sz w:val="24"/>
        </w:rPr>
        <w:t> and place of the meeting, the names of members</w:t>
      </w:r>
      <w:r>
        <w:rPr>
          <w:b/>
          <w:color w:val="231F20"/>
          <w:spacing w:val="40"/>
          <w:sz w:val="24"/>
        </w:rPr>
        <w:t> </w:t>
      </w:r>
      <w:r>
        <w:rPr>
          <w:b/>
          <w:color w:val="231F20"/>
          <w:sz w:val="24"/>
        </w:rPr>
        <w:t>in attendance</w:t>
      </w:r>
      <w:r>
        <w:rPr>
          <w:b/>
          <w:color w:val="231F20"/>
          <w:spacing w:val="-2"/>
          <w:sz w:val="24"/>
        </w:rPr>
        <w:t> </w:t>
      </w:r>
      <w:r>
        <w:rPr>
          <w:b/>
          <w:color w:val="231F20"/>
          <w:sz w:val="24"/>
        </w:rPr>
        <w:t>and those absent,</w:t>
      </w:r>
      <w:r>
        <w:rPr>
          <w:b/>
          <w:color w:val="231F20"/>
          <w:spacing w:val="-1"/>
          <w:sz w:val="24"/>
        </w:rPr>
        <w:t> </w:t>
      </w:r>
      <w:r>
        <w:rPr>
          <w:b/>
          <w:color w:val="231F20"/>
          <w:sz w:val="24"/>
        </w:rPr>
        <w:t>the</w:t>
      </w:r>
      <w:r>
        <w:rPr>
          <w:b/>
          <w:color w:val="231F20"/>
          <w:spacing w:val="-2"/>
          <w:sz w:val="24"/>
        </w:rPr>
        <w:t> </w:t>
      </w:r>
      <w:r>
        <w:rPr>
          <w:b/>
          <w:color w:val="231F20"/>
          <w:sz w:val="24"/>
        </w:rPr>
        <w:t>substance of the proposals considered</w:t>
      </w:r>
      <w:r>
        <w:rPr>
          <w:b/>
          <w:color w:val="231F20"/>
          <w:sz w:val="24"/>
        </w:rPr>
        <w:t> and a record of any decisions and votes taken that show how each member voted. All minutes are open to public inspection. Draft minutes shall be prepared within ten working days after the meeting and shall be approved, amended or disapproved at the next meeting where a quorum is present. Minutes shall not become official until</w:t>
      </w:r>
      <w:r>
        <w:rPr>
          <w:b/>
          <w:color w:val="231F20"/>
          <w:sz w:val="24"/>
        </w:rPr>
        <w:t> approved by the policymaking </w:t>
      </w:r>
      <w:r>
        <w:rPr>
          <w:b/>
          <w:color w:val="231F20"/>
          <w:spacing w:val="-4"/>
          <w:sz w:val="24"/>
        </w:rPr>
        <w:t>body.</w:t>
      </w:r>
    </w:p>
    <w:p>
      <w:pPr>
        <w:pStyle w:val="ListParagraph"/>
        <w:numPr>
          <w:ilvl w:val="1"/>
          <w:numId w:val="3"/>
        </w:numPr>
        <w:tabs>
          <w:tab w:pos="792" w:val="left" w:leader="none"/>
        </w:tabs>
        <w:spacing w:line="240" w:lineRule="auto" w:before="90" w:after="0"/>
        <w:ind w:left="475" w:right="593" w:hanging="10"/>
        <w:jc w:val="left"/>
        <w:rPr>
          <w:b/>
          <w:sz w:val="24"/>
        </w:rPr>
      </w:pPr>
      <w:r>
        <w:rPr/>
        <w:br w:type="column"/>
      </w:r>
      <w:r>
        <w:rPr>
          <w:b/>
          <w:color w:val="231F20"/>
          <w:sz w:val="24"/>
        </w:rPr>
        <w:t>The provisions of Subsections A, B and G of this section do not apply to:</w:t>
      </w:r>
    </w:p>
    <w:p>
      <w:pPr>
        <w:pStyle w:val="BodyText"/>
        <w:rPr>
          <w:b/>
        </w:rPr>
      </w:pPr>
    </w:p>
    <w:p>
      <w:pPr>
        <w:pStyle w:val="ListParagraph"/>
        <w:numPr>
          <w:ilvl w:val="2"/>
          <w:numId w:val="3"/>
        </w:numPr>
        <w:tabs>
          <w:tab w:pos="1625" w:val="left" w:leader="none"/>
        </w:tabs>
        <w:spacing w:line="240" w:lineRule="auto" w:before="0" w:after="0"/>
        <w:ind w:left="475" w:right="595" w:firstLine="720"/>
        <w:jc w:val="both"/>
        <w:rPr>
          <w:b/>
          <w:color w:val="231F20"/>
          <w:sz w:val="24"/>
        </w:rPr>
      </w:pPr>
      <w:r>
        <w:rPr>
          <w:b/>
          <w:color w:val="231F20"/>
          <w:sz w:val="24"/>
        </w:rPr>
        <w:t>meetings pertaining to issuance, suspension,</w:t>
      </w:r>
      <w:r>
        <w:rPr>
          <w:b/>
          <w:color w:val="231F20"/>
          <w:spacing w:val="-2"/>
          <w:sz w:val="24"/>
        </w:rPr>
        <w:t> </w:t>
      </w:r>
      <w:r>
        <w:rPr>
          <w:b/>
          <w:color w:val="231F20"/>
          <w:sz w:val="24"/>
        </w:rPr>
        <w:t>renewal</w:t>
      </w:r>
      <w:r>
        <w:rPr>
          <w:b/>
          <w:color w:val="231F20"/>
          <w:spacing w:val="-1"/>
          <w:sz w:val="24"/>
        </w:rPr>
        <w:t> </w:t>
      </w:r>
      <w:r>
        <w:rPr>
          <w:b/>
          <w:color w:val="231F20"/>
          <w:sz w:val="24"/>
        </w:rPr>
        <w:t>or revocation</w:t>
      </w:r>
      <w:r>
        <w:rPr>
          <w:b/>
          <w:color w:val="231F20"/>
          <w:spacing w:val="-1"/>
          <w:sz w:val="24"/>
        </w:rPr>
        <w:t> </w:t>
      </w:r>
      <w:r>
        <w:rPr>
          <w:b/>
          <w:color w:val="231F20"/>
          <w:sz w:val="24"/>
        </w:rPr>
        <w:t>of a license except that a hearing at which evidence is offered</w:t>
      </w:r>
      <w:r>
        <w:rPr>
          <w:b/>
          <w:color w:val="231F20"/>
          <w:spacing w:val="-3"/>
          <w:sz w:val="24"/>
        </w:rPr>
        <w:t> </w:t>
      </w:r>
      <w:r>
        <w:rPr>
          <w:b/>
          <w:color w:val="231F20"/>
          <w:sz w:val="24"/>
        </w:rPr>
        <w:t>or</w:t>
      </w:r>
      <w:r>
        <w:rPr>
          <w:b/>
          <w:color w:val="231F20"/>
          <w:spacing w:val="-4"/>
          <w:sz w:val="24"/>
        </w:rPr>
        <w:t> </w:t>
      </w:r>
      <w:r>
        <w:rPr>
          <w:b/>
          <w:color w:val="231F20"/>
          <w:sz w:val="24"/>
        </w:rPr>
        <w:t>rebutted</w:t>
      </w:r>
      <w:r>
        <w:rPr>
          <w:b/>
          <w:color w:val="231F20"/>
          <w:spacing w:val="-3"/>
          <w:sz w:val="24"/>
        </w:rPr>
        <w:t> </w:t>
      </w:r>
      <w:r>
        <w:rPr>
          <w:b/>
          <w:color w:val="231F20"/>
          <w:sz w:val="24"/>
        </w:rPr>
        <w:t>shall</w:t>
      </w:r>
      <w:r>
        <w:rPr>
          <w:b/>
          <w:color w:val="231F20"/>
          <w:spacing w:val="-3"/>
          <w:sz w:val="24"/>
        </w:rPr>
        <w:t> </w:t>
      </w:r>
      <w:r>
        <w:rPr>
          <w:b/>
          <w:color w:val="231F20"/>
          <w:sz w:val="24"/>
        </w:rPr>
        <w:t>be open.</w:t>
      </w:r>
      <w:r>
        <w:rPr>
          <w:b/>
          <w:color w:val="231F20"/>
          <w:spacing w:val="40"/>
          <w:sz w:val="24"/>
        </w:rPr>
        <w:t> </w:t>
      </w:r>
      <w:r>
        <w:rPr>
          <w:b/>
          <w:color w:val="231F20"/>
          <w:sz w:val="24"/>
        </w:rPr>
        <w:t>All</w:t>
      </w:r>
      <w:r>
        <w:rPr>
          <w:b/>
          <w:color w:val="231F20"/>
          <w:spacing w:val="40"/>
          <w:sz w:val="24"/>
        </w:rPr>
        <w:t> </w:t>
      </w:r>
      <w:r>
        <w:rPr>
          <w:b/>
          <w:color w:val="231F20"/>
          <w:sz w:val="24"/>
        </w:rPr>
        <w:t>final actions on the issuance, suspension, renewal or revocation of a license shall be taken at an open meeting;</w:t>
      </w:r>
    </w:p>
    <w:p>
      <w:pPr>
        <w:pStyle w:val="BodyText"/>
        <w:rPr>
          <w:b/>
        </w:rPr>
      </w:pPr>
    </w:p>
    <w:p>
      <w:pPr>
        <w:pStyle w:val="ListParagraph"/>
        <w:numPr>
          <w:ilvl w:val="2"/>
          <w:numId w:val="3"/>
        </w:numPr>
        <w:tabs>
          <w:tab w:pos="1839" w:val="left" w:leader="none"/>
        </w:tabs>
        <w:spacing w:line="240" w:lineRule="auto" w:before="0" w:after="0"/>
        <w:ind w:left="475" w:right="594" w:firstLine="720"/>
        <w:jc w:val="both"/>
        <w:rPr>
          <w:b/>
          <w:color w:val="231F20"/>
          <w:sz w:val="24"/>
        </w:rPr>
      </w:pPr>
      <w:r>
        <w:rPr>
          <w:b/>
          <w:color w:val="231F20"/>
          <w:sz w:val="24"/>
        </w:rPr>
        <w:t>limited personnel matters; provided that</w:t>
      </w:r>
      <w:r>
        <w:rPr>
          <w:b/>
          <w:color w:val="231F20"/>
          <w:sz w:val="24"/>
        </w:rPr>
        <w:t> for</w:t>
      </w:r>
      <w:r>
        <w:rPr>
          <w:b/>
          <w:color w:val="231F20"/>
          <w:sz w:val="24"/>
        </w:rPr>
        <w:t> purposes of the Open Meetings Act,</w:t>
      </w:r>
      <w:r>
        <w:rPr>
          <w:b/>
          <w:color w:val="231F20"/>
          <w:sz w:val="24"/>
        </w:rPr>
        <w:t> “limited personnel matters” means the discussion of hiring, promotion, demotion, dismissal, assignment</w:t>
      </w:r>
      <w:r>
        <w:rPr>
          <w:b/>
          <w:color w:val="231F20"/>
          <w:sz w:val="24"/>
        </w:rPr>
        <w:t> or resignation of or the investigation or consideration of complaints or charges against</w:t>
      </w:r>
      <w:r>
        <w:rPr>
          <w:b/>
          <w:color w:val="231F20"/>
          <w:sz w:val="24"/>
        </w:rPr>
        <w:t> any individual public employee; provided</w:t>
      </w:r>
      <w:r>
        <w:rPr>
          <w:b/>
          <w:color w:val="231F20"/>
          <w:spacing w:val="-3"/>
          <w:sz w:val="24"/>
        </w:rPr>
        <w:t> </w:t>
      </w:r>
      <w:r>
        <w:rPr>
          <w:b/>
          <w:color w:val="231F20"/>
          <w:sz w:val="24"/>
        </w:rPr>
        <w:t>further</w:t>
      </w:r>
      <w:r>
        <w:rPr>
          <w:b/>
          <w:color w:val="231F20"/>
          <w:spacing w:val="-4"/>
          <w:sz w:val="24"/>
        </w:rPr>
        <w:t> </w:t>
      </w:r>
      <w:r>
        <w:rPr>
          <w:b/>
          <w:color w:val="231F20"/>
          <w:sz w:val="24"/>
        </w:rPr>
        <w:t>that</w:t>
      </w:r>
      <w:r>
        <w:rPr>
          <w:b/>
          <w:color w:val="231F20"/>
          <w:spacing w:val="-5"/>
          <w:sz w:val="24"/>
        </w:rPr>
        <w:t> </w:t>
      </w:r>
      <w:r>
        <w:rPr>
          <w:b/>
          <w:color w:val="231F20"/>
          <w:sz w:val="24"/>
        </w:rPr>
        <w:t>this</w:t>
      </w:r>
      <w:r>
        <w:rPr>
          <w:b/>
          <w:color w:val="231F20"/>
          <w:spacing w:val="-3"/>
          <w:sz w:val="24"/>
        </w:rPr>
        <w:t> </w:t>
      </w:r>
      <w:r>
        <w:rPr>
          <w:b/>
          <w:color w:val="231F20"/>
          <w:sz w:val="24"/>
        </w:rPr>
        <w:t>Subsection</w:t>
      </w:r>
      <w:r>
        <w:rPr>
          <w:b/>
          <w:color w:val="231F20"/>
          <w:spacing w:val="-3"/>
          <w:sz w:val="24"/>
        </w:rPr>
        <w:t> </w:t>
      </w:r>
      <w:r>
        <w:rPr>
          <w:b/>
          <w:color w:val="231F20"/>
          <w:sz w:val="24"/>
        </w:rPr>
        <w:t>is</w:t>
      </w:r>
      <w:r>
        <w:rPr>
          <w:b/>
          <w:color w:val="231F20"/>
          <w:spacing w:val="-3"/>
          <w:sz w:val="24"/>
        </w:rPr>
        <w:t> </w:t>
      </w:r>
      <w:r>
        <w:rPr>
          <w:b/>
          <w:color w:val="231F20"/>
          <w:sz w:val="24"/>
        </w:rPr>
        <w:t>not</w:t>
      </w:r>
      <w:r>
        <w:rPr>
          <w:b/>
          <w:color w:val="231F20"/>
          <w:spacing w:val="-5"/>
          <w:sz w:val="24"/>
        </w:rPr>
        <w:t> </w:t>
      </w:r>
      <w:r>
        <w:rPr>
          <w:b/>
          <w:color w:val="231F20"/>
          <w:sz w:val="24"/>
        </w:rPr>
        <w:t>to be construed as to exempt final actions on personnel from being taken at open public meetings;</w:t>
      </w:r>
      <w:r>
        <w:rPr>
          <w:b/>
          <w:color w:val="231F20"/>
          <w:sz w:val="24"/>
        </w:rPr>
        <w:t> nor does it preclude an aggrieved public employee from demanding a public hearing. Judicial candidates interviewed by any commission shall have the right</w:t>
      </w:r>
      <w:r>
        <w:rPr>
          <w:b/>
          <w:color w:val="231F20"/>
          <w:sz w:val="24"/>
        </w:rPr>
        <w:t> to demand an open interview;</w:t>
      </w:r>
    </w:p>
    <w:p>
      <w:pPr>
        <w:pStyle w:val="BodyText"/>
        <w:rPr>
          <w:b/>
        </w:rPr>
      </w:pPr>
    </w:p>
    <w:p>
      <w:pPr>
        <w:pStyle w:val="ListParagraph"/>
        <w:numPr>
          <w:ilvl w:val="2"/>
          <w:numId w:val="3"/>
        </w:numPr>
        <w:tabs>
          <w:tab w:pos="1640" w:val="left" w:leader="none"/>
        </w:tabs>
        <w:spacing w:line="240" w:lineRule="auto" w:before="1" w:after="0"/>
        <w:ind w:left="475" w:right="594" w:firstLine="720"/>
        <w:jc w:val="both"/>
        <w:rPr>
          <w:b/>
          <w:color w:val="231F20"/>
          <w:sz w:val="24"/>
        </w:rPr>
      </w:pPr>
      <w:r>
        <w:rPr>
          <w:b/>
          <w:color w:val="231F20"/>
          <w:sz w:val="24"/>
        </w:rPr>
        <w:t>deliberations</w:t>
      </w:r>
      <w:r>
        <w:rPr>
          <w:b/>
          <w:color w:val="231F20"/>
          <w:spacing w:val="40"/>
          <w:sz w:val="24"/>
        </w:rPr>
        <w:t> </w:t>
      </w:r>
      <w:r>
        <w:rPr>
          <w:b/>
          <w:color w:val="231F20"/>
          <w:sz w:val="24"/>
        </w:rPr>
        <w:t>by</w:t>
      </w:r>
      <w:r>
        <w:rPr>
          <w:b/>
          <w:color w:val="231F20"/>
          <w:spacing w:val="40"/>
          <w:sz w:val="24"/>
        </w:rPr>
        <w:t> </w:t>
      </w:r>
      <w:r>
        <w:rPr>
          <w:b/>
          <w:color w:val="231F20"/>
          <w:sz w:val="24"/>
        </w:rPr>
        <w:t>a</w:t>
      </w:r>
      <w:r>
        <w:rPr>
          <w:b/>
          <w:color w:val="231F20"/>
          <w:spacing w:val="40"/>
          <w:sz w:val="24"/>
        </w:rPr>
        <w:t> </w:t>
      </w:r>
      <w:r>
        <w:rPr>
          <w:b/>
          <w:color w:val="231F20"/>
          <w:sz w:val="24"/>
        </w:rPr>
        <w:t>public</w:t>
      </w:r>
      <w:r>
        <w:rPr>
          <w:b/>
          <w:color w:val="231F20"/>
          <w:spacing w:val="40"/>
          <w:sz w:val="24"/>
        </w:rPr>
        <w:t> </w:t>
      </w:r>
      <w:r>
        <w:rPr>
          <w:b/>
          <w:color w:val="231F20"/>
          <w:sz w:val="24"/>
        </w:rPr>
        <w:t>body</w:t>
      </w:r>
      <w:r>
        <w:rPr>
          <w:b/>
          <w:color w:val="231F20"/>
          <w:spacing w:val="80"/>
          <w:sz w:val="24"/>
        </w:rPr>
        <w:t> </w:t>
      </w:r>
      <w:r>
        <w:rPr>
          <w:b/>
          <w:color w:val="231F20"/>
          <w:sz w:val="24"/>
        </w:rPr>
        <w:t>in connection with an administrative adjudicatory</w:t>
      </w:r>
      <w:r>
        <w:rPr>
          <w:b/>
          <w:color w:val="231F20"/>
          <w:spacing w:val="-7"/>
          <w:sz w:val="24"/>
        </w:rPr>
        <w:t> </w:t>
      </w:r>
      <w:r>
        <w:rPr>
          <w:b/>
          <w:color w:val="231F20"/>
          <w:sz w:val="24"/>
        </w:rPr>
        <w:t>proceeding.</w:t>
      </w:r>
      <w:r>
        <w:rPr>
          <w:b/>
          <w:color w:val="231F20"/>
          <w:spacing w:val="-7"/>
          <w:sz w:val="24"/>
        </w:rPr>
        <w:t> </w:t>
      </w:r>
      <w:r>
        <w:rPr>
          <w:b/>
          <w:color w:val="231F20"/>
          <w:sz w:val="24"/>
        </w:rPr>
        <w:t>For</w:t>
      </w:r>
      <w:r>
        <w:rPr>
          <w:b/>
          <w:color w:val="231F20"/>
          <w:spacing w:val="-8"/>
          <w:sz w:val="24"/>
        </w:rPr>
        <w:t> </w:t>
      </w:r>
      <w:r>
        <w:rPr>
          <w:b/>
          <w:color w:val="231F20"/>
          <w:sz w:val="24"/>
        </w:rPr>
        <w:t>purposes</w:t>
      </w:r>
      <w:r>
        <w:rPr>
          <w:b/>
          <w:color w:val="231F20"/>
          <w:spacing w:val="-7"/>
          <w:sz w:val="24"/>
        </w:rPr>
        <w:t> </w:t>
      </w:r>
      <w:r>
        <w:rPr>
          <w:b/>
          <w:color w:val="231F20"/>
          <w:sz w:val="24"/>
        </w:rPr>
        <w:t>of</w:t>
      </w:r>
      <w:r>
        <w:rPr>
          <w:b/>
          <w:color w:val="231F20"/>
          <w:spacing w:val="-6"/>
          <w:sz w:val="24"/>
        </w:rPr>
        <w:t> </w:t>
      </w:r>
      <w:r>
        <w:rPr>
          <w:b/>
          <w:color w:val="231F20"/>
          <w:sz w:val="24"/>
        </w:rPr>
        <w:t>this paragraph, an “administrative</w:t>
      </w:r>
      <w:r>
        <w:rPr>
          <w:b/>
          <w:color w:val="231F20"/>
          <w:sz w:val="24"/>
        </w:rPr>
        <w:t> adjudicatory proceeding” means a proceeding brought by or against</w:t>
      </w:r>
      <w:r>
        <w:rPr>
          <w:b/>
          <w:color w:val="231F20"/>
          <w:sz w:val="24"/>
        </w:rPr>
        <w:t> a</w:t>
      </w:r>
      <w:r>
        <w:rPr>
          <w:b/>
          <w:color w:val="231F20"/>
          <w:sz w:val="24"/>
        </w:rPr>
        <w:t> person before a public body in which individual legal rights, duties or privileges are required by law to be determined by the public body after an opportunity for a trial-type hearing. Except as</w:t>
      </w:r>
      <w:r>
        <w:rPr>
          <w:b/>
          <w:color w:val="231F20"/>
          <w:spacing w:val="80"/>
          <w:w w:val="150"/>
          <w:sz w:val="24"/>
        </w:rPr>
        <w:t> </w:t>
      </w:r>
      <w:r>
        <w:rPr>
          <w:b/>
          <w:color w:val="231F20"/>
          <w:sz w:val="24"/>
        </w:rPr>
        <w:t>otherwise</w:t>
      </w:r>
      <w:r>
        <w:rPr>
          <w:b/>
          <w:color w:val="231F20"/>
          <w:spacing w:val="80"/>
          <w:w w:val="150"/>
          <w:sz w:val="24"/>
        </w:rPr>
        <w:t> </w:t>
      </w:r>
      <w:r>
        <w:rPr>
          <w:b/>
          <w:color w:val="231F20"/>
          <w:sz w:val="24"/>
        </w:rPr>
        <w:t>provided</w:t>
      </w:r>
      <w:r>
        <w:rPr>
          <w:b/>
          <w:color w:val="231F20"/>
          <w:spacing w:val="80"/>
          <w:w w:val="150"/>
          <w:sz w:val="24"/>
        </w:rPr>
        <w:t> </w:t>
      </w:r>
      <w:r>
        <w:rPr>
          <w:b/>
          <w:color w:val="231F20"/>
          <w:sz w:val="24"/>
        </w:rPr>
        <w:t>in</w:t>
      </w:r>
      <w:r>
        <w:rPr>
          <w:b/>
          <w:color w:val="231F20"/>
          <w:spacing w:val="80"/>
          <w:w w:val="150"/>
          <w:sz w:val="24"/>
        </w:rPr>
        <w:t> </w:t>
      </w:r>
      <w:r>
        <w:rPr>
          <w:b/>
          <w:color w:val="231F20"/>
          <w:sz w:val="24"/>
        </w:rPr>
        <w:t>this</w:t>
      </w:r>
      <w:r>
        <w:rPr>
          <w:b/>
          <w:color w:val="231F20"/>
          <w:spacing w:val="80"/>
          <w:w w:val="150"/>
          <w:sz w:val="24"/>
        </w:rPr>
        <w:t> </w:t>
      </w:r>
      <w:r>
        <w:rPr>
          <w:b/>
          <w:color w:val="231F20"/>
          <w:sz w:val="24"/>
        </w:rPr>
        <w:t>section,</w:t>
      </w:r>
      <w:r>
        <w:rPr>
          <w:b/>
          <w:color w:val="231F20"/>
          <w:spacing w:val="40"/>
          <w:sz w:val="24"/>
        </w:rPr>
        <w:t> </w:t>
      </w:r>
      <w:r>
        <w:rPr>
          <w:b/>
          <w:color w:val="231F20"/>
          <w:sz w:val="24"/>
        </w:rPr>
        <w:t>the actual administrative</w:t>
      </w:r>
      <w:r>
        <w:rPr>
          <w:b/>
          <w:color w:val="231F20"/>
          <w:sz w:val="24"/>
        </w:rPr>
        <w:t> adjudicatory proceeding at which evidence </w:t>
      </w:r>
      <w:r>
        <w:rPr>
          <w:b/>
          <w:sz w:val="24"/>
        </w:rPr>
        <w:t>is </w:t>
      </w:r>
      <w:r>
        <w:rPr>
          <w:b/>
          <w:color w:val="231F20"/>
          <w:sz w:val="24"/>
        </w:rPr>
        <w:t>offered or rebutted and any final action taken as a</w:t>
      </w:r>
      <w:r>
        <w:rPr>
          <w:b/>
          <w:color w:val="231F20"/>
          <w:spacing w:val="40"/>
          <w:sz w:val="24"/>
        </w:rPr>
        <w:t> </w:t>
      </w:r>
      <w:r>
        <w:rPr>
          <w:b/>
          <w:color w:val="231F20"/>
          <w:sz w:val="24"/>
        </w:rPr>
        <w:t>result of the proceeding shall occur in an</w:t>
      </w:r>
      <w:r>
        <w:rPr>
          <w:b/>
          <w:color w:val="231F20"/>
          <w:spacing w:val="40"/>
          <w:sz w:val="24"/>
        </w:rPr>
        <w:t> </w:t>
      </w:r>
      <w:r>
        <w:rPr>
          <w:b/>
          <w:color w:val="231F20"/>
          <w:sz w:val="24"/>
        </w:rPr>
        <w:t>open meeting;</w:t>
      </w:r>
    </w:p>
    <w:p>
      <w:pPr>
        <w:pStyle w:val="BodyText"/>
        <w:spacing w:before="4"/>
        <w:rPr>
          <w:b/>
          <w:sz w:val="23"/>
        </w:rPr>
      </w:pPr>
    </w:p>
    <w:p>
      <w:pPr>
        <w:pStyle w:val="ListParagraph"/>
        <w:numPr>
          <w:ilvl w:val="2"/>
          <w:numId w:val="3"/>
        </w:numPr>
        <w:tabs>
          <w:tab w:pos="1738" w:val="left" w:leader="none"/>
        </w:tabs>
        <w:spacing w:line="242" w:lineRule="auto" w:before="0" w:after="0"/>
        <w:ind w:left="475" w:right="595" w:firstLine="720"/>
        <w:jc w:val="both"/>
        <w:rPr>
          <w:sz w:val="24"/>
        </w:rPr>
      </w:pPr>
      <w:r>
        <w:rPr>
          <w:b/>
          <w:color w:val="231F20"/>
          <w:sz w:val="24"/>
        </w:rPr>
        <w:t>the discussion of personally identifiable</w:t>
      </w:r>
      <w:r>
        <w:rPr>
          <w:b/>
          <w:color w:val="231F20"/>
          <w:spacing w:val="40"/>
          <w:sz w:val="24"/>
        </w:rPr>
        <w:t> </w:t>
      </w:r>
      <w:r>
        <w:rPr>
          <w:b/>
          <w:color w:val="231F20"/>
          <w:sz w:val="24"/>
        </w:rPr>
        <w:t>information</w:t>
      </w:r>
      <w:r>
        <w:rPr>
          <w:b/>
          <w:color w:val="231F20"/>
          <w:spacing w:val="40"/>
          <w:sz w:val="24"/>
        </w:rPr>
        <w:t> </w:t>
      </w:r>
      <w:r>
        <w:rPr>
          <w:b/>
          <w:color w:val="231F20"/>
          <w:sz w:val="24"/>
        </w:rPr>
        <w:t>about</w:t>
      </w:r>
      <w:r>
        <w:rPr>
          <w:b/>
          <w:color w:val="231F20"/>
          <w:spacing w:val="40"/>
          <w:sz w:val="24"/>
        </w:rPr>
        <w:t> </w:t>
      </w:r>
      <w:r>
        <w:rPr>
          <w:b/>
          <w:color w:val="231F20"/>
          <w:sz w:val="24"/>
        </w:rPr>
        <w:t>any individual student, unless the student, his parent or guardian requests otherwise;</w:t>
      </w:r>
    </w:p>
    <w:p>
      <w:pPr>
        <w:spacing w:after="0" w:line="242" w:lineRule="auto"/>
        <w:jc w:val="both"/>
        <w:rPr>
          <w:sz w:val="24"/>
        </w:rPr>
        <w:sectPr>
          <w:type w:val="continuous"/>
          <w:pgSz w:w="12240" w:h="15840"/>
          <w:pgMar w:header="660" w:footer="484" w:top="480" w:bottom="280" w:left="360" w:right="240"/>
          <w:cols w:num="2" w:equalWidth="0">
            <w:col w:w="5201" w:space="681"/>
            <w:col w:w="5758"/>
          </w:cols>
        </w:sectPr>
      </w:pPr>
    </w:p>
    <w:p>
      <w:pPr>
        <w:pStyle w:val="BodyText"/>
        <w:spacing w:before="1"/>
        <w:rPr>
          <w:b/>
          <w:sz w:val="16"/>
        </w:rPr>
      </w:pPr>
    </w:p>
    <w:p>
      <w:pPr>
        <w:spacing w:after="0"/>
        <w:rPr>
          <w:sz w:val="16"/>
        </w:rPr>
        <w:sectPr>
          <w:pgSz w:w="12240" w:h="15840"/>
          <w:pgMar w:header="660" w:footer="484" w:top="960" w:bottom="900" w:left="360" w:right="240"/>
        </w:sectPr>
      </w:pPr>
    </w:p>
    <w:p>
      <w:pPr>
        <w:pStyle w:val="BodyText"/>
        <w:spacing w:before="9"/>
        <w:rPr>
          <w:b/>
          <w:sz w:val="31"/>
        </w:rPr>
      </w:pPr>
    </w:p>
    <w:p>
      <w:pPr>
        <w:pStyle w:val="ListParagraph"/>
        <w:numPr>
          <w:ilvl w:val="2"/>
          <w:numId w:val="3"/>
        </w:numPr>
        <w:tabs>
          <w:tab w:pos="1659" w:val="left" w:leader="none"/>
        </w:tabs>
        <w:spacing w:line="240" w:lineRule="auto" w:before="0" w:after="0"/>
        <w:ind w:left="475" w:right="41" w:firstLine="720"/>
        <w:jc w:val="both"/>
        <w:rPr>
          <w:b/>
          <w:color w:val="231F20"/>
          <w:sz w:val="24"/>
        </w:rPr>
      </w:pPr>
      <w:r>
        <w:rPr>
          <w:b/>
          <w:color w:val="231F20"/>
          <w:sz w:val="24"/>
        </w:rPr>
        <w:t>meetings for the discussion of bargaining strategy</w:t>
      </w:r>
      <w:r>
        <w:rPr>
          <w:b/>
          <w:color w:val="231F20"/>
          <w:sz w:val="24"/>
        </w:rPr>
        <w:t> preliminary to collective bargaining negotiations between the policymaking body and a bargaining unit representing the employees of that policymaking body and collective bargaining sessions at which the policymaking body and the representatives of the collective bargaining unit are present;</w:t>
      </w:r>
    </w:p>
    <w:p>
      <w:pPr>
        <w:pStyle w:val="BodyText"/>
        <w:rPr>
          <w:b/>
        </w:rPr>
      </w:pPr>
    </w:p>
    <w:p>
      <w:pPr>
        <w:pStyle w:val="ListParagraph"/>
        <w:numPr>
          <w:ilvl w:val="2"/>
          <w:numId w:val="3"/>
        </w:numPr>
        <w:tabs>
          <w:tab w:pos="1541" w:val="left" w:leader="none"/>
        </w:tabs>
        <w:spacing w:line="240" w:lineRule="auto" w:before="1" w:after="0"/>
        <w:ind w:left="475" w:right="39" w:firstLine="720"/>
        <w:jc w:val="both"/>
        <w:rPr>
          <w:b/>
          <w:color w:val="231F20"/>
          <w:sz w:val="24"/>
        </w:rPr>
      </w:pPr>
      <w:r>
        <w:rPr>
          <w:b/>
          <w:color w:val="231F20"/>
          <w:sz w:val="24"/>
        </w:rPr>
        <w:t>that</w:t>
      </w:r>
      <w:r>
        <w:rPr>
          <w:b/>
          <w:color w:val="231F20"/>
          <w:spacing w:val="-1"/>
          <w:sz w:val="24"/>
        </w:rPr>
        <w:t> </w:t>
      </w:r>
      <w:r>
        <w:rPr>
          <w:b/>
          <w:color w:val="231F20"/>
          <w:sz w:val="24"/>
        </w:rPr>
        <w:t>portion of meetings at which a decision concerning purchases in an amount exceeding two thousand five hundred dollars ($2,500)</w:t>
      </w:r>
      <w:r>
        <w:rPr>
          <w:b/>
          <w:color w:val="231F20"/>
          <w:sz w:val="24"/>
        </w:rPr>
        <w:t> that</w:t>
      </w:r>
      <w:r>
        <w:rPr>
          <w:b/>
          <w:color w:val="231F20"/>
          <w:sz w:val="24"/>
        </w:rPr>
        <w:t> can be made only from one source and that portion of meetings at which the contents of competitive</w:t>
      </w:r>
      <w:r>
        <w:rPr>
          <w:b/>
          <w:color w:val="231F20"/>
          <w:sz w:val="24"/>
        </w:rPr>
        <w:t> sealed proposals solicited pursuant to the Procurement Code are discussed during the contract negotiation process. The actual approval of purchase of the item or final action regarding the</w:t>
      </w:r>
      <w:r>
        <w:rPr>
          <w:b/>
          <w:color w:val="231F20"/>
          <w:spacing w:val="40"/>
          <w:sz w:val="24"/>
        </w:rPr>
        <w:t> </w:t>
      </w:r>
      <w:r>
        <w:rPr>
          <w:b/>
          <w:color w:val="231F20"/>
          <w:sz w:val="24"/>
        </w:rPr>
        <w:t>selection of a contractor shall be made in an open meeting;</w:t>
      </w:r>
    </w:p>
    <w:p>
      <w:pPr>
        <w:pStyle w:val="BodyText"/>
        <w:rPr>
          <w:b/>
        </w:rPr>
      </w:pPr>
    </w:p>
    <w:p>
      <w:pPr>
        <w:pStyle w:val="ListParagraph"/>
        <w:numPr>
          <w:ilvl w:val="2"/>
          <w:numId w:val="3"/>
        </w:numPr>
        <w:tabs>
          <w:tab w:pos="1592" w:val="left" w:leader="none"/>
        </w:tabs>
        <w:spacing w:line="240" w:lineRule="auto" w:before="0" w:after="0"/>
        <w:ind w:left="475" w:right="40" w:firstLine="720"/>
        <w:jc w:val="both"/>
        <w:rPr>
          <w:b/>
          <w:color w:val="231F20"/>
          <w:sz w:val="24"/>
        </w:rPr>
      </w:pPr>
      <w:r>
        <w:rPr>
          <w:b/>
          <w:color w:val="231F20"/>
          <w:sz w:val="24"/>
        </w:rPr>
        <w:t>meetings subject</w:t>
      </w:r>
      <w:r>
        <w:rPr>
          <w:b/>
          <w:color w:val="231F20"/>
          <w:sz w:val="24"/>
        </w:rPr>
        <w:t> to</w:t>
      </w:r>
      <w:r>
        <w:rPr>
          <w:b/>
          <w:color w:val="231F20"/>
          <w:sz w:val="24"/>
        </w:rPr>
        <w:t> the attorney- client</w:t>
      </w:r>
      <w:r>
        <w:rPr>
          <w:b/>
          <w:color w:val="231F20"/>
          <w:sz w:val="24"/>
        </w:rPr>
        <w:t> privilege pertaining to threatened or pending litigation in which the public body is or may become a participant;</w:t>
      </w:r>
    </w:p>
    <w:p>
      <w:pPr>
        <w:pStyle w:val="BodyText"/>
        <w:rPr>
          <w:b/>
        </w:rPr>
      </w:pPr>
    </w:p>
    <w:p>
      <w:pPr>
        <w:pStyle w:val="ListParagraph"/>
        <w:numPr>
          <w:ilvl w:val="2"/>
          <w:numId w:val="3"/>
        </w:numPr>
        <w:tabs>
          <w:tab w:pos="1575" w:val="left" w:leader="none"/>
        </w:tabs>
        <w:spacing w:line="240" w:lineRule="auto" w:before="0" w:after="0"/>
        <w:ind w:left="475" w:right="40" w:firstLine="720"/>
        <w:jc w:val="both"/>
        <w:rPr>
          <w:b/>
          <w:color w:val="231F20"/>
          <w:sz w:val="24"/>
        </w:rPr>
      </w:pPr>
      <w:r>
        <w:rPr>
          <w:b/>
          <w:color w:val="231F20"/>
          <w:sz w:val="24"/>
        </w:rPr>
        <w:t>meetings for the discussion of the purchase, acquisition or disposal of real property or water rights by the public body;</w:t>
      </w:r>
    </w:p>
    <w:p>
      <w:pPr>
        <w:pStyle w:val="BodyText"/>
        <w:rPr>
          <w:b/>
        </w:rPr>
      </w:pPr>
    </w:p>
    <w:p>
      <w:pPr>
        <w:pStyle w:val="ListParagraph"/>
        <w:numPr>
          <w:ilvl w:val="2"/>
          <w:numId w:val="3"/>
        </w:numPr>
        <w:tabs>
          <w:tab w:pos="1671" w:val="left" w:leader="none"/>
        </w:tabs>
        <w:spacing w:line="240" w:lineRule="auto" w:before="0" w:after="0"/>
        <w:ind w:left="475" w:right="39" w:firstLine="720"/>
        <w:jc w:val="both"/>
        <w:rPr>
          <w:b/>
          <w:color w:val="231F20"/>
          <w:sz w:val="24"/>
        </w:rPr>
      </w:pPr>
      <w:r>
        <w:rPr>
          <w:b/>
          <w:color w:val="231F20"/>
          <w:sz w:val="24"/>
        </w:rPr>
        <w:t>those portions of meetings of committees or boards of public hospitals where strategic</w:t>
      </w:r>
      <w:r>
        <w:rPr>
          <w:b/>
          <w:color w:val="231F20"/>
          <w:sz w:val="24"/>
        </w:rPr>
        <w:t> and long-range business</w:t>
      </w:r>
      <w:r>
        <w:rPr>
          <w:b/>
          <w:color w:val="231F20"/>
          <w:spacing w:val="40"/>
          <w:sz w:val="24"/>
        </w:rPr>
        <w:t> </w:t>
      </w:r>
      <w:r>
        <w:rPr>
          <w:b/>
          <w:color w:val="231F20"/>
          <w:sz w:val="24"/>
        </w:rPr>
        <w:t>plans or trade secrets are discussed; and</w:t>
      </w:r>
    </w:p>
    <w:p>
      <w:pPr>
        <w:pStyle w:val="BodyText"/>
        <w:spacing w:before="9"/>
        <w:rPr>
          <w:b/>
          <w:sz w:val="23"/>
        </w:rPr>
      </w:pPr>
    </w:p>
    <w:p>
      <w:pPr>
        <w:pStyle w:val="ListParagraph"/>
        <w:numPr>
          <w:ilvl w:val="2"/>
          <w:numId w:val="3"/>
        </w:numPr>
        <w:tabs>
          <w:tab w:pos="1700" w:val="left" w:leader="none"/>
        </w:tabs>
        <w:spacing w:line="240" w:lineRule="auto" w:before="0" w:after="0"/>
        <w:ind w:left="475" w:right="39" w:firstLine="720"/>
        <w:jc w:val="both"/>
        <w:rPr>
          <w:b/>
          <w:color w:val="231F20"/>
          <w:sz w:val="24"/>
        </w:rPr>
      </w:pPr>
      <w:r>
        <w:rPr>
          <w:b/>
          <w:color w:val="231F20"/>
          <w:sz w:val="24"/>
        </w:rPr>
        <w:t>that</w:t>
      </w:r>
      <w:r>
        <w:rPr>
          <w:b/>
          <w:color w:val="231F20"/>
          <w:sz w:val="24"/>
        </w:rPr>
        <w:t> portion of a meeting of the gaming control</w:t>
      </w:r>
      <w:r>
        <w:rPr>
          <w:b/>
          <w:color w:val="231F20"/>
          <w:sz w:val="24"/>
        </w:rPr>
        <w:t> board dealing with information made confidential pursuant to the provisions of the Gaming Control Act.</w:t>
      </w:r>
    </w:p>
    <w:p>
      <w:pPr>
        <w:pStyle w:val="BodyText"/>
        <w:rPr>
          <w:b/>
        </w:rPr>
      </w:pPr>
    </w:p>
    <w:p>
      <w:pPr>
        <w:pStyle w:val="ListParagraph"/>
        <w:numPr>
          <w:ilvl w:val="1"/>
          <w:numId w:val="3"/>
        </w:numPr>
        <w:tabs>
          <w:tab w:pos="737" w:val="left" w:leader="none"/>
        </w:tabs>
        <w:spacing w:line="240" w:lineRule="auto" w:before="0" w:after="0"/>
        <w:ind w:left="475" w:right="38" w:hanging="10"/>
        <w:jc w:val="both"/>
        <w:rPr>
          <w:b/>
          <w:sz w:val="24"/>
        </w:rPr>
      </w:pPr>
      <w:r>
        <w:rPr>
          <w:b/>
          <w:color w:val="231F20"/>
          <w:sz w:val="24"/>
        </w:rPr>
        <w:t>If</w:t>
      </w:r>
      <w:r>
        <w:rPr>
          <w:b/>
          <w:color w:val="231F20"/>
          <w:sz w:val="24"/>
        </w:rPr>
        <w:t> any meeting is closed pursuant to the exclusions contained in Subsection H of this section, the closure:</w:t>
      </w:r>
    </w:p>
    <w:p>
      <w:pPr>
        <w:pStyle w:val="BodyText"/>
        <w:rPr>
          <w:b/>
        </w:rPr>
      </w:pPr>
    </w:p>
    <w:p>
      <w:pPr>
        <w:pStyle w:val="ListParagraph"/>
        <w:numPr>
          <w:ilvl w:val="2"/>
          <w:numId w:val="3"/>
        </w:numPr>
        <w:tabs>
          <w:tab w:pos="1568" w:val="left" w:leader="none"/>
        </w:tabs>
        <w:spacing w:line="240" w:lineRule="auto" w:before="1" w:after="0"/>
        <w:ind w:left="475" w:right="39" w:firstLine="720"/>
        <w:jc w:val="both"/>
        <w:rPr>
          <w:b/>
          <w:color w:val="231F20"/>
          <w:sz w:val="24"/>
        </w:rPr>
      </w:pPr>
      <w:r>
        <w:rPr>
          <w:b/>
          <w:color w:val="231F20"/>
          <w:sz w:val="24"/>
        </w:rPr>
        <w:t>If</w:t>
      </w:r>
      <w:r>
        <w:rPr>
          <w:b/>
          <w:color w:val="231F20"/>
          <w:sz w:val="24"/>
        </w:rPr>
        <w:t> made in an open meeting, shall be approved by a majority vote of a quorum</w:t>
      </w:r>
    </w:p>
    <w:p>
      <w:pPr>
        <w:spacing w:before="90"/>
        <w:ind w:left="475" w:right="594" w:firstLine="0"/>
        <w:jc w:val="both"/>
        <w:rPr>
          <w:b/>
          <w:sz w:val="24"/>
        </w:rPr>
      </w:pPr>
      <w:r>
        <w:rPr/>
        <w:br w:type="column"/>
      </w:r>
      <w:r>
        <w:rPr>
          <w:b/>
          <w:color w:val="231F20"/>
          <w:sz w:val="24"/>
        </w:rPr>
        <w:t>of</w:t>
      </w:r>
      <w:r>
        <w:rPr>
          <w:b/>
          <w:color w:val="231F20"/>
          <w:sz w:val="24"/>
        </w:rPr>
        <w:t> the policymaking body;</w:t>
      </w:r>
      <w:r>
        <w:rPr>
          <w:b/>
          <w:color w:val="231F20"/>
          <w:sz w:val="24"/>
        </w:rPr>
        <w:t> the authority for the closure and the subject</w:t>
      </w:r>
      <w:r>
        <w:rPr>
          <w:b/>
          <w:color w:val="231F20"/>
          <w:sz w:val="24"/>
        </w:rPr>
        <w:t> to</w:t>
      </w:r>
      <w:r>
        <w:rPr>
          <w:b/>
          <w:color w:val="231F20"/>
          <w:sz w:val="24"/>
        </w:rPr>
        <w:t> be discussed shall be stated with reasonable specificity in the motion calling for the vote on a closed meeting;</w:t>
      </w:r>
      <w:r>
        <w:rPr>
          <w:b/>
          <w:color w:val="231F20"/>
          <w:sz w:val="24"/>
        </w:rPr>
        <w:t> the vote shall be taken in an open meeting;</w:t>
      </w:r>
      <w:r>
        <w:rPr>
          <w:b/>
          <w:color w:val="231F20"/>
          <w:sz w:val="24"/>
        </w:rPr>
        <w:t> and the vote of each individual member shall be recorded in the minutes. Only</w:t>
      </w:r>
      <w:r>
        <w:rPr>
          <w:b/>
          <w:color w:val="231F20"/>
          <w:spacing w:val="-2"/>
          <w:sz w:val="24"/>
        </w:rPr>
        <w:t> </w:t>
      </w:r>
      <w:r>
        <w:rPr>
          <w:b/>
          <w:color w:val="231F20"/>
          <w:sz w:val="24"/>
        </w:rPr>
        <w:t>those</w:t>
      </w:r>
      <w:r>
        <w:rPr>
          <w:b/>
          <w:color w:val="231F20"/>
          <w:spacing w:val="-2"/>
          <w:sz w:val="24"/>
        </w:rPr>
        <w:t> </w:t>
      </w:r>
      <w:r>
        <w:rPr>
          <w:b/>
          <w:color w:val="231F20"/>
          <w:sz w:val="24"/>
        </w:rPr>
        <w:t>subjects</w:t>
      </w:r>
      <w:r>
        <w:rPr>
          <w:b/>
          <w:color w:val="231F20"/>
          <w:spacing w:val="-1"/>
          <w:sz w:val="24"/>
        </w:rPr>
        <w:t> </w:t>
      </w:r>
      <w:r>
        <w:rPr>
          <w:b/>
          <w:color w:val="231F20"/>
          <w:sz w:val="24"/>
        </w:rPr>
        <w:t>announced</w:t>
      </w:r>
      <w:r>
        <w:rPr>
          <w:b/>
          <w:color w:val="231F20"/>
          <w:spacing w:val="-1"/>
          <w:sz w:val="24"/>
        </w:rPr>
        <w:t> </w:t>
      </w:r>
      <w:r>
        <w:rPr>
          <w:b/>
          <w:color w:val="231F20"/>
          <w:sz w:val="24"/>
        </w:rPr>
        <w:t>or</w:t>
      </w:r>
      <w:r>
        <w:rPr>
          <w:b/>
          <w:color w:val="231F20"/>
          <w:spacing w:val="-2"/>
          <w:sz w:val="24"/>
        </w:rPr>
        <w:t> </w:t>
      </w:r>
      <w:r>
        <w:rPr>
          <w:b/>
          <w:color w:val="231F20"/>
          <w:sz w:val="24"/>
        </w:rPr>
        <w:t>voted</w:t>
      </w:r>
      <w:r>
        <w:rPr>
          <w:b/>
          <w:color w:val="231F20"/>
          <w:spacing w:val="-1"/>
          <w:sz w:val="24"/>
        </w:rPr>
        <w:t> </w:t>
      </w:r>
      <w:r>
        <w:rPr>
          <w:b/>
          <w:color w:val="231F20"/>
          <w:sz w:val="24"/>
        </w:rPr>
        <w:t>upon prior to closure by the policymaking body may be discussed in a closed meeting; and</w:t>
      </w:r>
    </w:p>
    <w:p>
      <w:pPr>
        <w:pStyle w:val="BodyText"/>
        <w:rPr>
          <w:b/>
        </w:rPr>
      </w:pPr>
    </w:p>
    <w:p>
      <w:pPr>
        <w:pStyle w:val="ListParagraph"/>
        <w:numPr>
          <w:ilvl w:val="2"/>
          <w:numId w:val="3"/>
        </w:numPr>
        <w:tabs>
          <w:tab w:pos="1536" w:val="left" w:leader="none"/>
        </w:tabs>
        <w:spacing w:line="240" w:lineRule="auto" w:before="0" w:after="0"/>
        <w:ind w:left="475" w:right="594" w:firstLine="720"/>
        <w:jc w:val="both"/>
        <w:rPr>
          <w:b/>
          <w:color w:val="231F20"/>
          <w:sz w:val="24"/>
        </w:rPr>
      </w:pPr>
      <w:r>
        <w:rPr>
          <w:b/>
          <w:color w:val="231F20"/>
          <w:sz w:val="24"/>
        </w:rPr>
        <w:t>if</w:t>
      </w:r>
      <w:r>
        <w:rPr>
          <w:b/>
          <w:color w:val="231F20"/>
          <w:spacing w:val="-3"/>
          <w:sz w:val="24"/>
        </w:rPr>
        <w:t> </w:t>
      </w:r>
      <w:r>
        <w:rPr>
          <w:b/>
          <w:color w:val="231F20"/>
          <w:sz w:val="24"/>
        </w:rPr>
        <w:t>called</w:t>
      </w:r>
      <w:r>
        <w:rPr>
          <w:b/>
          <w:color w:val="231F20"/>
          <w:spacing w:val="-4"/>
          <w:sz w:val="24"/>
        </w:rPr>
        <w:t> </w:t>
      </w:r>
      <w:r>
        <w:rPr>
          <w:b/>
          <w:color w:val="231F20"/>
          <w:sz w:val="24"/>
        </w:rPr>
        <w:t>for</w:t>
      </w:r>
      <w:r>
        <w:rPr>
          <w:b/>
          <w:color w:val="231F20"/>
          <w:spacing w:val="-5"/>
          <w:sz w:val="24"/>
        </w:rPr>
        <w:t> </w:t>
      </w:r>
      <w:r>
        <w:rPr>
          <w:b/>
          <w:color w:val="231F20"/>
          <w:sz w:val="24"/>
        </w:rPr>
        <w:t>when</w:t>
      </w:r>
      <w:r>
        <w:rPr>
          <w:b/>
          <w:color w:val="231F20"/>
          <w:spacing w:val="-4"/>
          <w:sz w:val="24"/>
        </w:rPr>
        <w:t> </w:t>
      </w:r>
      <w:r>
        <w:rPr>
          <w:b/>
          <w:color w:val="231F20"/>
          <w:sz w:val="24"/>
        </w:rPr>
        <w:t>the</w:t>
      </w:r>
      <w:r>
        <w:rPr>
          <w:b/>
          <w:color w:val="231F20"/>
          <w:spacing w:val="-5"/>
          <w:sz w:val="24"/>
        </w:rPr>
        <w:t> </w:t>
      </w:r>
      <w:r>
        <w:rPr>
          <w:b/>
          <w:color w:val="231F20"/>
          <w:sz w:val="24"/>
        </w:rPr>
        <w:t>policymaking body is not in an open meeting, shall not be held until public notice,</w:t>
      </w:r>
      <w:r>
        <w:rPr>
          <w:b/>
          <w:color w:val="231F20"/>
          <w:sz w:val="24"/>
        </w:rPr>
        <w:t> appropriate under the circumstances, stating the specific provision of the law authorizing the closed meeting and stating with reasonable specificity</w:t>
      </w:r>
      <w:r>
        <w:rPr>
          <w:b/>
          <w:color w:val="231F20"/>
          <w:spacing w:val="-2"/>
          <w:sz w:val="24"/>
        </w:rPr>
        <w:t> </w:t>
      </w:r>
      <w:r>
        <w:rPr>
          <w:b/>
          <w:color w:val="231F20"/>
          <w:sz w:val="24"/>
        </w:rPr>
        <w:t>the</w:t>
      </w:r>
      <w:r>
        <w:rPr>
          <w:b/>
          <w:color w:val="231F20"/>
          <w:spacing w:val="-3"/>
          <w:sz w:val="24"/>
        </w:rPr>
        <w:t> </w:t>
      </w:r>
      <w:r>
        <w:rPr>
          <w:b/>
          <w:color w:val="231F20"/>
          <w:sz w:val="24"/>
        </w:rPr>
        <w:t>subject</w:t>
      </w:r>
      <w:r>
        <w:rPr>
          <w:b/>
          <w:color w:val="231F20"/>
          <w:spacing w:val="-4"/>
          <w:sz w:val="24"/>
        </w:rPr>
        <w:t> </w:t>
      </w:r>
      <w:r>
        <w:rPr>
          <w:b/>
          <w:color w:val="231F20"/>
          <w:sz w:val="24"/>
        </w:rPr>
        <w:t>to</w:t>
      </w:r>
      <w:r>
        <w:rPr>
          <w:b/>
          <w:color w:val="231F20"/>
          <w:spacing w:val="-3"/>
          <w:sz w:val="24"/>
        </w:rPr>
        <w:t> </w:t>
      </w:r>
      <w:r>
        <w:rPr>
          <w:b/>
          <w:color w:val="231F20"/>
          <w:sz w:val="24"/>
        </w:rPr>
        <w:t>be</w:t>
      </w:r>
      <w:r>
        <w:rPr>
          <w:b/>
          <w:color w:val="231F20"/>
          <w:spacing w:val="-3"/>
          <w:sz w:val="24"/>
        </w:rPr>
        <w:t> </w:t>
      </w:r>
      <w:r>
        <w:rPr>
          <w:b/>
          <w:color w:val="231F20"/>
          <w:sz w:val="24"/>
        </w:rPr>
        <w:t>discussed,</w:t>
      </w:r>
      <w:r>
        <w:rPr>
          <w:b/>
          <w:color w:val="231F20"/>
          <w:spacing w:val="-2"/>
          <w:sz w:val="24"/>
        </w:rPr>
        <w:t> </w:t>
      </w:r>
      <w:r>
        <w:rPr>
          <w:b/>
          <w:color w:val="231F20"/>
          <w:sz w:val="24"/>
        </w:rPr>
        <w:t>is</w:t>
      </w:r>
      <w:r>
        <w:rPr>
          <w:b/>
          <w:color w:val="231F20"/>
          <w:spacing w:val="-2"/>
          <w:sz w:val="24"/>
        </w:rPr>
        <w:t> </w:t>
      </w:r>
      <w:r>
        <w:rPr>
          <w:b/>
          <w:color w:val="231F20"/>
          <w:sz w:val="24"/>
        </w:rPr>
        <w:t>given to the members and to the general public.</w:t>
      </w:r>
    </w:p>
    <w:p>
      <w:pPr>
        <w:pStyle w:val="BodyText"/>
        <w:rPr>
          <w:b/>
        </w:rPr>
      </w:pPr>
    </w:p>
    <w:p>
      <w:pPr>
        <w:pStyle w:val="ListParagraph"/>
        <w:numPr>
          <w:ilvl w:val="1"/>
          <w:numId w:val="3"/>
        </w:numPr>
        <w:tabs>
          <w:tab w:pos="1035" w:val="left" w:leader="none"/>
        </w:tabs>
        <w:spacing w:line="240" w:lineRule="auto" w:before="0" w:after="0"/>
        <w:ind w:left="475" w:right="596" w:hanging="10"/>
        <w:jc w:val="both"/>
        <w:rPr>
          <w:b/>
          <w:sz w:val="24"/>
        </w:rPr>
      </w:pPr>
      <w:r>
        <w:rPr>
          <w:b/>
          <w:color w:val="231F20"/>
          <w:sz w:val="24"/>
        </w:rPr>
        <w:t>Following completion of any closed meeting,</w:t>
      </w:r>
      <w:r>
        <w:rPr>
          <w:b/>
          <w:color w:val="231F20"/>
          <w:spacing w:val="-4"/>
          <w:sz w:val="24"/>
        </w:rPr>
        <w:t> </w:t>
      </w:r>
      <w:r>
        <w:rPr>
          <w:b/>
          <w:color w:val="231F20"/>
          <w:sz w:val="24"/>
        </w:rPr>
        <w:t>the</w:t>
      </w:r>
      <w:r>
        <w:rPr>
          <w:b/>
          <w:color w:val="231F20"/>
          <w:spacing w:val="-3"/>
          <w:sz w:val="24"/>
        </w:rPr>
        <w:t> </w:t>
      </w:r>
      <w:r>
        <w:rPr>
          <w:b/>
          <w:color w:val="231F20"/>
          <w:sz w:val="24"/>
        </w:rPr>
        <w:t>minutes</w:t>
      </w:r>
      <w:r>
        <w:rPr>
          <w:b/>
          <w:color w:val="231F20"/>
          <w:spacing w:val="-4"/>
          <w:sz w:val="24"/>
        </w:rPr>
        <w:t> </w:t>
      </w:r>
      <w:r>
        <w:rPr>
          <w:b/>
          <w:color w:val="231F20"/>
          <w:sz w:val="24"/>
        </w:rPr>
        <w:t>of</w:t>
      </w:r>
      <w:r>
        <w:rPr>
          <w:b/>
          <w:color w:val="231F20"/>
          <w:spacing w:val="-2"/>
          <w:sz w:val="24"/>
        </w:rPr>
        <w:t> </w:t>
      </w:r>
      <w:r>
        <w:rPr>
          <w:b/>
          <w:color w:val="231F20"/>
          <w:sz w:val="24"/>
        </w:rPr>
        <w:t>the</w:t>
      </w:r>
      <w:r>
        <w:rPr>
          <w:b/>
          <w:color w:val="231F20"/>
          <w:spacing w:val="-5"/>
          <w:sz w:val="24"/>
        </w:rPr>
        <w:t> </w:t>
      </w:r>
      <w:r>
        <w:rPr>
          <w:b/>
          <w:color w:val="231F20"/>
          <w:sz w:val="24"/>
        </w:rPr>
        <w:t>open</w:t>
      </w:r>
      <w:r>
        <w:rPr>
          <w:b/>
          <w:color w:val="231F20"/>
          <w:spacing w:val="-3"/>
          <w:sz w:val="24"/>
        </w:rPr>
        <w:t> </w:t>
      </w:r>
      <w:r>
        <w:rPr>
          <w:b/>
          <w:color w:val="231F20"/>
          <w:sz w:val="24"/>
        </w:rPr>
        <w:t>meeting</w:t>
      </w:r>
      <w:r>
        <w:rPr>
          <w:b/>
          <w:color w:val="231F20"/>
          <w:spacing w:val="-4"/>
          <w:sz w:val="24"/>
        </w:rPr>
        <w:t> </w:t>
      </w:r>
      <w:r>
        <w:rPr>
          <w:b/>
          <w:color w:val="231F20"/>
          <w:sz w:val="24"/>
        </w:rPr>
        <w:t>that was closed, or the minutes of the next open meeting if the closed meeting was separately scheduled, shall state</w:t>
      </w:r>
      <w:r>
        <w:rPr>
          <w:b/>
          <w:color w:val="231F20"/>
          <w:sz w:val="24"/>
        </w:rPr>
        <w:t> that the matters discussed in the closed meeting were limited only to those specified in the motion for closure or in the notice of the separate closed meeting. This statement shall be approved by the public body under Subsection G of this section as part of the minutes.</w:t>
      </w:r>
    </w:p>
    <w:p>
      <w:pPr>
        <w:pStyle w:val="BodyText"/>
        <w:rPr>
          <w:b/>
        </w:rPr>
      </w:pPr>
    </w:p>
    <w:p>
      <w:pPr>
        <w:spacing w:before="1"/>
        <w:ind w:left="465" w:right="0" w:firstLine="0"/>
        <w:jc w:val="both"/>
        <w:rPr>
          <w:b/>
          <w:sz w:val="24"/>
        </w:rPr>
      </w:pPr>
      <w:r>
        <w:rPr>
          <w:b/>
          <w:color w:val="231F20"/>
          <w:sz w:val="24"/>
        </w:rPr>
        <w:t>10-15-1.1.</w:t>
      </w:r>
      <w:r>
        <w:rPr>
          <w:b/>
          <w:color w:val="231F20"/>
          <w:spacing w:val="56"/>
          <w:sz w:val="24"/>
        </w:rPr>
        <w:t> </w:t>
      </w:r>
      <w:r>
        <w:rPr>
          <w:b/>
          <w:color w:val="231F20"/>
          <w:sz w:val="24"/>
        </w:rPr>
        <w:t>Short</w:t>
      </w:r>
      <w:r>
        <w:rPr>
          <w:b/>
          <w:color w:val="231F20"/>
          <w:spacing w:val="-3"/>
          <w:sz w:val="24"/>
        </w:rPr>
        <w:t> </w:t>
      </w:r>
      <w:r>
        <w:rPr>
          <w:b/>
          <w:color w:val="231F20"/>
          <w:spacing w:val="-2"/>
          <w:sz w:val="24"/>
        </w:rPr>
        <w:t>Title.</w:t>
      </w:r>
    </w:p>
    <w:p>
      <w:pPr>
        <w:pStyle w:val="BodyText"/>
        <w:spacing w:before="2"/>
        <w:rPr>
          <w:b/>
        </w:rPr>
      </w:pPr>
    </w:p>
    <w:p>
      <w:pPr>
        <w:spacing w:line="237" w:lineRule="auto" w:before="0"/>
        <w:ind w:left="475" w:right="597" w:hanging="10"/>
        <w:jc w:val="both"/>
        <w:rPr>
          <w:b/>
          <w:sz w:val="24"/>
        </w:rPr>
      </w:pPr>
      <w:r>
        <w:rPr>
          <w:b/>
          <w:color w:val="231F20"/>
          <w:sz w:val="24"/>
        </w:rPr>
        <w:t>NMSA 1978, Chapter</w:t>
      </w:r>
      <w:r>
        <w:rPr>
          <w:b/>
          <w:color w:val="231F20"/>
          <w:sz w:val="24"/>
        </w:rPr>
        <w:t> 10,</w:t>
      </w:r>
      <w:r>
        <w:rPr>
          <w:b/>
          <w:color w:val="231F20"/>
          <w:sz w:val="24"/>
        </w:rPr>
        <w:t> Article 15 may be cited as the “Open Meetings Act.”</w:t>
      </w:r>
    </w:p>
    <w:p>
      <w:pPr>
        <w:pStyle w:val="BodyText"/>
        <w:spacing w:before="1"/>
        <w:rPr>
          <w:b/>
        </w:rPr>
      </w:pPr>
    </w:p>
    <w:p>
      <w:pPr>
        <w:spacing w:before="0"/>
        <w:ind w:left="465" w:right="0" w:firstLine="0"/>
        <w:jc w:val="both"/>
        <w:rPr>
          <w:b/>
          <w:sz w:val="24"/>
        </w:rPr>
      </w:pPr>
      <w:r>
        <w:rPr>
          <w:b/>
          <w:color w:val="231F20"/>
          <w:sz w:val="24"/>
        </w:rPr>
        <w:t>10-15-2.</w:t>
      </w:r>
      <w:r>
        <w:rPr>
          <w:b/>
          <w:color w:val="231F20"/>
          <w:spacing w:val="49"/>
          <w:sz w:val="24"/>
        </w:rPr>
        <w:t> </w:t>
      </w:r>
      <w:r>
        <w:rPr>
          <w:b/>
          <w:color w:val="231F20"/>
          <w:sz w:val="24"/>
        </w:rPr>
        <w:t>State</w:t>
      </w:r>
      <w:r>
        <w:rPr>
          <w:b/>
          <w:color w:val="231F20"/>
          <w:spacing w:val="-7"/>
          <w:sz w:val="24"/>
        </w:rPr>
        <w:t> </w:t>
      </w:r>
      <w:r>
        <w:rPr>
          <w:b/>
          <w:color w:val="231F20"/>
          <w:sz w:val="24"/>
        </w:rPr>
        <w:t>Legislature;</w:t>
      </w:r>
      <w:r>
        <w:rPr>
          <w:b/>
          <w:color w:val="231F20"/>
          <w:spacing w:val="-7"/>
          <w:sz w:val="24"/>
        </w:rPr>
        <w:t> </w:t>
      </w:r>
      <w:r>
        <w:rPr>
          <w:b/>
          <w:color w:val="231F20"/>
          <w:spacing w:val="-2"/>
          <w:sz w:val="24"/>
        </w:rPr>
        <w:t>Meetings.</w:t>
      </w:r>
    </w:p>
    <w:p>
      <w:pPr>
        <w:pStyle w:val="BodyText"/>
        <w:rPr>
          <w:b/>
        </w:rPr>
      </w:pPr>
    </w:p>
    <w:p>
      <w:pPr>
        <w:pStyle w:val="ListParagraph"/>
        <w:numPr>
          <w:ilvl w:val="0"/>
          <w:numId w:val="4"/>
        </w:numPr>
        <w:tabs>
          <w:tab w:pos="792" w:val="left" w:leader="none"/>
        </w:tabs>
        <w:spacing w:line="240" w:lineRule="auto" w:before="0" w:after="0"/>
        <w:ind w:left="475" w:right="594" w:hanging="10"/>
        <w:jc w:val="both"/>
        <w:rPr>
          <w:b/>
          <w:sz w:val="24"/>
        </w:rPr>
      </w:pPr>
      <w:r>
        <w:rPr>
          <w:b/>
          <w:color w:val="231F20"/>
          <w:sz w:val="24"/>
        </w:rPr>
        <w:t>Unless otherwise provided by joint house and senate</w:t>
      </w:r>
      <w:r>
        <w:rPr>
          <w:b/>
          <w:color w:val="231F20"/>
          <w:sz w:val="24"/>
        </w:rPr>
        <w:t> rule, all meetings of any</w:t>
      </w:r>
      <w:r>
        <w:rPr>
          <w:b/>
          <w:color w:val="231F20"/>
          <w:spacing w:val="40"/>
          <w:sz w:val="24"/>
        </w:rPr>
        <w:t> </w:t>
      </w:r>
      <w:r>
        <w:rPr>
          <w:b/>
          <w:color w:val="231F20"/>
          <w:sz w:val="24"/>
        </w:rPr>
        <w:t>committee or policymaking body of the legislature held for the purpose of discussing public business or for the purpose of taking any action within the authority of or the delegated authority of the committee or body are declared to be public meetings open to</w:t>
      </w:r>
      <w:r>
        <w:rPr>
          <w:b/>
          <w:color w:val="231F20"/>
          <w:spacing w:val="40"/>
          <w:sz w:val="24"/>
        </w:rPr>
        <w:t> </w:t>
      </w:r>
      <w:r>
        <w:rPr>
          <w:b/>
          <w:color w:val="231F20"/>
          <w:sz w:val="24"/>
        </w:rPr>
        <w:t>the public at all times. Reasonable notice of meetings</w:t>
      </w:r>
      <w:r>
        <w:rPr>
          <w:b/>
          <w:color w:val="231F20"/>
          <w:spacing w:val="62"/>
          <w:w w:val="150"/>
          <w:sz w:val="24"/>
        </w:rPr>
        <w:t> </w:t>
      </w:r>
      <w:r>
        <w:rPr>
          <w:b/>
          <w:color w:val="231F20"/>
          <w:sz w:val="24"/>
        </w:rPr>
        <w:t>shall</w:t>
      </w:r>
      <w:r>
        <w:rPr>
          <w:b/>
          <w:color w:val="231F20"/>
          <w:spacing w:val="62"/>
          <w:w w:val="150"/>
          <w:sz w:val="24"/>
        </w:rPr>
        <w:t> </w:t>
      </w:r>
      <w:r>
        <w:rPr>
          <w:b/>
          <w:color w:val="231F20"/>
          <w:sz w:val="24"/>
        </w:rPr>
        <w:t>be</w:t>
      </w:r>
      <w:r>
        <w:rPr>
          <w:b/>
          <w:color w:val="231F20"/>
          <w:spacing w:val="62"/>
          <w:w w:val="150"/>
          <w:sz w:val="24"/>
        </w:rPr>
        <w:t> </w:t>
      </w:r>
      <w:r>
        <w:rPr>
          <w:b/>
          <w:color w:val="231F20"/>
          <w:sz w:val="24"/>
        </w:rPr>
        <w:t>given</w:t>
      </w:r>
      <w:r>
        <w:rPr>
          <w:b/>
          <w:color w:val="231F20"/>
          <w:spacing w:val="62"/>
          <w:w w:val="150"/>
          <w:sz w:val="24"/>
        </w:rPr>
        <w:t> </w:t>
      </w:r>
      <w:r>
        <w:rPr>
          <w:b/>
          <w:color w:val="231F20"/>
          <w:sz w:val="24"/>
        </w:rPr>
        <w:t>to</w:t>
      </w:r>
      <w:r>
        <w:rPr>
          <w:b/>
          <w:color w:val="231F20"/>
          <w:spacing w:val="63"/>
          <w:w w:val="150"/>
          <w:sz w:val="24"/>
        </w:rPr>
        <w:t> </w:t>
      </w:r>
      <w:r>
        <w:rPr>
          <w:b/>
          <w:color w:val="231F20"/>
          <w:sz w:val="24"/>
        </w:rPr>
        <w:t>the</w:t>
      </w:r>
      <w:r>
        <w:rPr>
          <w:b/>
          <w:color w:val="231F20"/>
          <w:spacing w:val="61"/>
          <w:w w:val="150"/>
          <w:sz w:val="24"/>
        </w:rPr>
        <w:t> </w:t>
      </w:r>
      <w:r>
        <w:rPr>
          <w:b/>
          <w:color w:val="231F20"/>
          <w:sz w:val="24"/>
        </w:rPr>
        <w:t>public</w:t>
      </w:r>
      <w:r>
        <w:rPr>
          <w:b/>
          <w:color w:val="231F20"/>
          <w:spacing w:val="62"/>
          <w:w w:val="150"/>
          <w:sz w:val="24"/>
        </w:rPr>
        <w:t> </w:t>
      </w:r>
      <w:r>
        <w:rPr>
          <w:b/>
          <w:color w:val="231F20"/>
          <w:spacing w:val="-5"/>
          <w:sz w:val="24"/>
        </w:rPr>
        <w:t>by</w:t>
      </w:r>
    </w:p>
    <w:p>
      <w:pPr>
        <w:spacing w:after="0" w:line="240" w:lineRule="auto"/>
        <w:jc w:val="both"/>
        <w:rPr>
          <w:sz w:val="24"/>
        </w:rPr>
        <w:sectPr>
          <w:type w:val="continuous"/>
          <w:pgSz w:w="12240" w:h="15840"/>
          <w:pgMar w:header="660" w:footer="484" w:top="480" w:bottom="280" w:left="360" w:right="240"/>
          <w:cols w:num="2" w:equalWidth="0">
            <w:col w:w="5202" w:space="680"/>
            <w:col w:w="5758"/>
          </w:cols>
        </w:sectPr>
      </w:pPr>
    </w:p>
    <w:p>
      <w:pPr>
        <w:pStyle w:val="BodyText"/>
        <w:spacing w:before="1"/>
        <w:rPr>
          <w:b/>
          <w:sz w:val="16"/>
        </w:rPr>
      </w:pPr>
    </w:p>
    <w:p>
      <w:pPr>
        <w:spacing w:after="0"/>
        <w:rPr>
          <w:sz w:val="16"/>
        </w:rPr>
        <w:sectPr>
          <w:pgSz w:w="12240" w:h="15840"/>
          <w:pgMar w:header="660" w:footer="484" w:top="960" w:bottom="900" w:left="360" w:right="240"/>
        </w:sectPr>
      </w:pPr>
    </w:p>
    <w:p>
      <w:pPr>
        <w:spacing w:before="90"/>
        <w:ind w:left="475" w:right="40" w:firstLine="0"/>
        <w:jc w:val="both"/>
        <w:rPr>
          <w:b/>
          <w:sz w:val="24"/>
        </w:rPr>
      </w:pPr>
      <w:r>
        <w:rPr>
          <w:b/>
          <w:color w:val="231F20"/>
          <w:sz w:val="24"/>
        </w:rPr>
        <w:t>publication</w:t>
      </w:r>
      <w:r>
        <w:rPr>
          <w:b/>
          <w:color w:val="231F20"/>
          <w:spacing w:val="-3"/>
          <w:sz w:val="24"/>
        </w:rPr>
        <w:t> </w:t>
      </w:r>
      <w:r>
        <w:rPr>
          <w:b/>
          <w:color w:val="231F20"/>
          <w:sz w:val="24"/>
        </w:rPr>
        <w:t>or</w:t>
      </w:r>
      <w:r>
        <w:rPr>
          <w:b/>
          <w:color w:val="231F20"/>
          <w:spacing w:val="-5"/>
          <w:sz w:val="24"/>
        </w:rPr>
        <w:t> </w:t>
      </w:r>
      <w:r>
        <w:rPr>
          <w:b/>
          <w:color w:val="231F20"/>
          <w:sz w:val="24"/>
        </w:rPr>
        <w:t>by</w:t>
      </w:r>
      <w:r>
        <w:rPr>
          <w:b/>
          <w:color w:val="231F20"/>
          <w:spacing w:val="-6"/>
          <w:sz w:val="24"/>
        </w:rPr>
        <w:t> </w:t>
      </w:r>
      <w:r>
        <w:rPr>
          <w:b/>
          <w:color w:val="231F20"/>
          <w:sz w:val="24"/>
        </w:rPr>
        <w:t>the</w:t>
      </w:r>
      <w:r>
        <w:rPr>
          <w:b/>
          <w:color w:val="231F20"/>
          <w:spacing w:val="-5"/>
          <w:sz w:val="24"/>
        </w:rPr>
        <w:t> </w:t>
      </w:r>
      <w:r>
        <w:rPr>
          <w:b/>
          <w:color w:val="231F20"/>
          <w:sz w:val="24"/>
        </w:rPr>
        <w:t>presiding</w:t>
      </w:r>
      <w:r>
        <w:rPr>
          <w:b/>
          <w:color w:val="231F20"/>
          <w:spacing w:val="-4"/>
          <w:sz w:val="24"/>
        </w:rPr>
        <w:t> </w:t>
      </w:r>
      <w:r>
        <w:rPr>
          <w:b/>
          <w:color w:val="231F20"/>
          <w:sz w:val="24"/>
        </w:rPr>
        <w:t>officer</w:t>
      </w:r>
      <w:r>
        <w:rPr>
          <w:b/>
          <w:color w:val="231F20"/>
          <w:spacing w:val="-5"/>
          <w:sz w:val="24"/>
        </w:rPr>
        <w:t> </w:t>
      </w:r>
      <w:r>
        <w:rPr>
          <w:b/>
          <w:color w:val="231F20"/>
          <w:sz w:val="24"/>
        </w:rPr>
        <w:t>of</w:t>
      </w:r>
      <w:r>
        <w:rPr>
          <w:b/>
          <w:color w:val="231F20"/>
          <w:spacing w:val="-2"/>
          <w:sz w:val="24"/>
        </w:rPr>
        <w:t> </w:t>
      </w:r>
      <w:r>
        <w:rPr>
          <w:b/>
          <w:color w:val="231F20"/>
          <w:sz w:val="24"/>
        </w:rPr>
        <w:t>each house prior to the time the meeting is </w:t>
      </w:r>
      <w:r>
        <w:rPr>
          <w:b/>
          <w:color w:val="231F20"/>
          <w:spacing w:val="-2"/>
          <w:sz w:val="24"/>
        </w:rPr>
        <w:t>scheduled.</w:t>
      </w:r>
    </w:p>
    <w:p>
      <w:pPr>
        <w:pStyle w:val="BodyText"/>
        <w:rPr>
          <w:b/>
        </w:rPr>
      </w:pPr>
    </w:p>
    <w:p>
      <w:pPr>
        <w:pStyle w:val="ListParagraph"/>
        <w:numPr>
          <w:ilvl w:val="0"/>
          <w:numId w:val="4"/>
        </w:numPr>
        <w:tabs>
          <w:tab w:pos="824" w:val="left" w:leader="none"/>
        </w:tabs>
        <w:spacing w:line="240" w:lineRule="auto" w:before="0" w:after="0"/>
        <w:ind w:left="475" w:right="39" w:hanging="10"/>
        <w:jc w:val="both"/>
        <w:rPr>
          <w:b/>
          <w:sz w:val="24"/>
        </w:rPr>
      </w:pPr>
      <w:r>
        <w:rPr>
          <w:b/>
          <w:color w:val="231F20"/>
          <w:sz w:val="24"/>
        </w:rPr>
        <w:t>The provisions of Subsection A of this section</w:t>
      </w:r>
      <w:r>
        <w:rPr>
          <w:b/>
          <w:color w:val="231F20"/>
          <w:spacing w:val="80"/>
          <w:sz w:val="24"/>
        </w:rPr>
        <w:t> </w:t>
      </w:r>
      <w:r>
        <w:rPr>
          <w:b/>
          <w:color w:val="231F20"/>
          <w:sz w:val="24"/>
        </w:rPr>
        <w:t>do</w:t>
      </w:r>
      <w:r>
        <w:rPr>
          <w:b/>
          <w:color w:val="231F20"/>
          <w:spacing w:val="80"/>
          <w:sz w:val="24"/>
        </w:rPr>
        <w:t> </w:t>
      </w:r>
      <w:r>
        <w:rPr>
          <w:b/>
          <w:color w:val="231F20"/>
          <w:sz w:val="24"/>
        </w:rPr>
        <w:t>not</w:t>
      </w:r>
      <w:r>
        <w:rPr>
          <w:b/>
          <w:color w:val="231F20"/>
          <w:spacing w:val="80"/>
          <w:sz w:val="24"/>
        </w:rPr>
        <w:t> </w:t>
      </w:r>
      <w:r>
        <w:rPr>
          <w:b/>
          <w:color w:val="231F20"/>
          <w:sz w:val="24"/>
        </w:rPr>
        <w:t>apply</w:t>
      </w:r>
      <w:r>
        <w:rPr>
          <w:b/>
          <w:color w:val="231F20"/>
          <w:spacing w:val="80"/>
          <w:sz w:val="24"/>
        </w:rPr>
        <w:t> </w:t>
      </w:r>
      <w:r>
        <w:rPr>
          <w:b/>
          <w:color w:val="231F20"/>
          <w:sz w:val="24"/>
        </w:rPr>
        <w:t>to</w:t>
      </w:r>
      <w:r>
        <w:rPr>
          <w:b/>
          <w:color w:val="231F20"/>
          <w:spacing w:val="80"/>
          <w:sz w:val="24"/>
        </w:rPr>
        <w:t> </w:t>
      </w:r>
      <w:r>
        <w:rPr>
          <w:b/>
          <w:color w:val="231F20"/>
          <w:sz w:val="24"/>
        </w:rPr>
        <w:t>matters</w:t>
      </w:r>
      <w:r>
        <w:rPr>
          <w:b/>
          <w:color w:val="231F20"/>
          <w:spacing w:val="80"/>
          <w:sz w:val="24"/>
        </w:rPr>
        <w:t> </w:t>
      </w:r>
      <w:r>
        <w:rPr>
          <w:b/>
          <w:color w:val="231F20"/>
          <w:sz w:val="24"/>
        </w:rPr>
        <w:t>relating to personnel or matters adjudicatory in nature or to investigative</w:t>
      </w:r>
      <w:r>
        <w:rPr>
          <w:b/>
          <w:color w:val="231F20"/>
          <w:sz w:val="24"/>
        </w:rPr>
        <w:t> or</w:t>
      </w:r>
      <w:r>
        <w:rPr>
          <w:b/>
          <w:color w:val="231F20"/>
          <w:sz w:val="24"/>
        </w:rPr>
        <w:t> quasi-judicial proceedings relating to ethics and conduct or to a caucus of a political party.</w:t>
      </w:r>
    </w:p>
    <w:p>
      <w:pPr>
        <w:pStyle w:val="BodyText"/>
        <w:rPr>
          <w:b/>
        </w:rPr>
      </w:pPr>
    </w:p>
    <w:p>
      <w:pPr>
        <w:pStyle w:val="ListParagraph"/>
        <w:numPr>
          <w:ilvl w:val="0"/>
          <w:numId w:val="4"/>
        </w:numPr>
        <w:tabs>
          <w:tab w:pos="778" w:val="left" w:leader="none"/>
        </w:tabs>
        <w:spacing w:line="240" w:lineRule="auto" w:before="0" w:after="0"/>
        <w:ind w:left="475" w:right="38" w:hanging="10"/>
        <w:jc w:val="both"/>
        <w:rPr>
          <w:b/>
          <w:sz w:val="24"/>
        </w:rPr>
      </w:pPr>
      <w:r>
        <w:rPr>
          <w:b/>
          <w:color w:val="231F20"/>
          <w:sz w:val="24"/>
        </w:rPr>
        <w:t>For the purpose of this section, “meeting” means a gathering of a quorum</w:t>
      </w:r>
      <w:r>
        <w:rPr>
          <w:b/>
          <w:color w:val="231F20"/>
          <w:sz w:val="24"/>
        </w:rPr>
        <w:t> of</w:t>
      </w:r>
      <w:r>
        <w:rPr>
          <w:b/>
          <w:color w:val="231F20"/>
          <w:sz w:val="24"/>
        </w:rPr>
        <w:t> the members of a standing committee or conference committee held for the purpose of taking any action within the authority of the committee or body.</w:t>
      </w:r>
    </w:p>
    <w:p>
      <w:pPr>
        <w:pStyle w:val="BodyText"/>
        <w:rPr>
          <w:b/>
        </w:rPr>
      </w:pPr>
    </w:p>
    <w:p>
      <w:pPr>
        <w:spacing w:before="0"/>
        <w:ind w:left="465" w:right="0" w:firstLine="0"/>
        <w:jc w:val="both"/>
        <w:rPr>
          <w:b/>
          <w:sz w:val="24"/>
        </w:rPr>
      </w:pPr>
      <w:r>
        <w:rPr>
          <w:b/>
          <w:color w:val="231F20"/>
          <w:sz w:val="24"/>
        </w:rPr>
        <w:t>10-15-3.</w:t>
      </w:r>
      <w:r>
        <w:rPr>
          <w:b/>
          <w:color w:val="231F20"/>
          <w:spacing w:val="52"/>
          <w:sz w:val="24"/>
        </w:rPr>
        <w:t> </w:t>
      </w:r>
      <w:r>
        <w:rPr>
          <w:b/>
          <w:color w:val="231F20"/>
          <w:sz w:val="24"/>
        </w:rPr>
        <w:t>Invalid</w:t>
      </w:r>
      <w:r>
        <w:rPr>
          <w:b/>
          <w:color w:val="231F20"/>
          <w:spacing w:val="-4"/>
          <w:sz w:val="24"/>
        </w:rPr>
        <w:t> </w:t>
      </w:r>
      <w:r>
        <w:rPr>
          <w:b/>
          <w:color w:val="231F20"/>
          <w:sz w:val="24"/>
        </w:rPr>
        <w:t>Actions;</w:t>
      </w:r>
      <w:r>
        <w:rPr>
          <w:b/>
          <w:color w:val="231F20"/>
          <w:spacing w:val="-5"/>
          <w:sz w:val="24"/>
        </w:rPr>
        <w:t> </w:t>
      </w:r>
      <w:r>
        <w:rPr>
          <w:b/>
          <w:color w:val="231F20"/>
          <w:spacing w:val="-2"/>
          <w:sz w:val="24"/>
        </w:rPr>
        <w:t>Standing.</w:t>
      </w:r>
    </w:p>
    <w:p>
      <w:pPr>
        <w:pStyle w:val="BodyText"/>
        <w:rPr>
          <w:b/>
        </w:rPr>
      </w:pPr>
    </w:p>
    <w:p>
      <w:pPr>
        <w:pStyle w:val="ListParagraph"/>
        <w:numPr>
          <w:ilvl w:val="0"/>
          <w:numId w:val="5"/>
        </w:numPr>
        <w:tabs>
          <w:tab w:pos="802" w:val="left" w:leader="none"/>
        </w:tabs>
        <w:spacing w:line="240" w:lineRule="auto" w:before="0" w:after="0"/>
        <w:ind w:left="475" w:right="39" w:hanging="10"/>
        <w:jc w:val="both"/>
        <w:rPr>
          <w:b/>
          <w:sz w:val="24"/>
        </w:rPr>
      </w:pPr>
      <w:r>
        <w:rPr>
          <w:b/>
          <w:color w:val="231F20"/>
          <w:sz w:val="24"/>
        </w:rPr>
        <w:t>No resolution, rule, regulation, ordinance or action of any board, commission, committee or other policymaking body shall be valid unless taken or made at a meeting held in accordance with the requirements of NMSA 1978, Section 10-15-1. Every resolution, rule, regulation, ordinance or action of any board, commission, committee or</w:t>
      </w:r>
      <w:r>
        <w:rPr>
          <w:b/>
          <w:color w:val="231F20"/>
          <w:spacing w:val="-15"/>
          <w:sz w:val="24"/>
        </w:rPr>
        <w:t> </w:t>
      </w:r>
      <w:r>
        <w:rPr>
          <w:b/>
          <w:color w:val="231F20"/>
          <w:sz w:val="24"/>
        </w:rPr>
        <w:t>other</w:t>
      </w:r>
      <w:r>
        <w:rPr>
          <w:b/>
          <w:color w:val="231F20"/>
          <w:spacing w:val="-15"/>
          <w:sz w:val="24"/>
        </w:rPr>
        <w:t> </w:t>
      </w:r>
      <w:r>
        <w:rPr>
          <w:b/>
          <w:color w:val="231F20"/>
          <w:sz w:val="24"/>
        </w:rPr>
        <w:t>policymaking</w:t>
      </w:r>
      <w:r>
        <w:rPr>
          <w:b/>
          <w:color w:val="231F20"/>
          <w:spacing w:val="-15"/>
          <w:sz w:val="24"/>
        </w:rPr>
        <w:t> </w:t>
      </w:r>
      <w:r>
        <w:rPr>
          <w:b/>
          <w:color w:val="231F20"/>
          <w:sz w:val="24"/>
        </w:rPr>
        <w:t>body</w:t>
      </w:r>
      <w:r>
        <w:rPr>
          <w:b/>
          <w:color w:val="231F20"/>
          <w:spacing w:val="-15"/>
          <w:sz w:val="24"/>
        </w:rPr>
        <w:t> </w:t>
      </w:r>
      <w:r>
        <w:rPr>
          <w:b/>
          <w:color w:val="231F20"/>
          <w:sz w:val="24"/>
        </w:rPr>
        <w:t>shall</w:t>
      </w:r>
      <w:r>
        <w:rPr>
          <w:b/>
          <w:color w:val="231F20"/>
          <w:spacing w:val="-15"/>
          <w:sz w:val="24"/>
        </w:rPr>
        <w:t> </w:t>
      </w:r>
      <w:r>
        <w:rPr>
          <w:b/>
          <w:color w:val="231F20"/>
          <w:sz w:val="24"/>
        </w:rPr>
        <w:t>be</w:t>
      </w:r>
      <w:r>
        <w:rPr>
          <w:b/>
          <w:color w:val="231F20"/>
          <w:spacing w:val="-15"/>
          <w:sz w:val="24"/>
        </w:rPr>
        <w:t> </w:t>
      </w:r>
      <w:r>
        <w:rPr>
          <w:b/>
          <w:color w:val="231F20"/>
          <w:sz w:val="24"/>
        </w:rPr>
        <w:t>presumed to have been taken or made at a meeting held in accordance with the requirements of NMSA 1978, Section 10-15-1.</w:t>
      </w:r>
    </w:p>
    <w:p>
      <w:pPr>
        <w:pStyle w:val="BodyText"/>
        <w:rPr>
          <w:b/>
        </w:rPr>
      </w:pPr>
    </w:p>
    <w:p>
      <w:pPr>
        <w:pStyle w:val="ListParagraph"/>
        <w:numPr>
          <w:ilvl w:val="0"/>
          <w:numId w:val="5"/>
        </w:numPr>
        <w:tabs>
          <w:tab w:pos="792" w:val="left" w:leader="none"/>
        </w:tabs>
        <w:spacing w:line="240" w:lineRule="auto" w:before="1" w:after="0"/>
        <w:ind w:left="475" w:right="38" w:hanging="10"/>
        <w:jc w:val="both"/>
        <w:rPr>
          <w:b/>
          <w:sz w:val="24"/>
        </w:rPr>
      </w:pPr>
      <w:r>
        <w:rPr>
          <w:b/>
          <w:color w:val="231F20"/>
          <w:sz w:val="24"/>
        </w:rPr>
        <w:t>All provisions of the Open Meetings Act shall be enforced</w:t>
      </w:r>
      <w:r>
        <w:rPr>
          <w:b/>
          <w:color w:val="231F20"/>
          <w:sz w:val="24"/>
        </w:rPr>
        <w:t> by the attorney general or by</w:t>
      </w:r>
      <w:r>
        <w:rPr>
          <w:b/>
          <w:color w:val="231F20"/>
          <w:spacing w:val="80"/>
          <w:w w:val="150"/>
          <w:sz w:val="24"/>
        </w:rPr>
        <w:t> </w:t>
      </w:r>
      <w:r>
        <w:rPr>
          <w:b/>
          <w:color w:val="231F20"/>
          <w:sz w:val="24"/>
        </w:rPr>
        <w:t>the</w:t>
      </w:r>
      <w:r>
        <w:rPr>
          <w:b/>
          <w:color w:val="231F20"/>
          <w:spacing w:val="80"/>
          <w:w w:val="150"/>
          <w:sz w:val="24"/>
        </w:rPr>
        <w:t> </w:t>
      </w:r>
      <w:r>
        <w:rPr>
          <w:b/>
          <w:color w:val="231F20"/>
          <w:sz w:val="24"/>
        </w:rPr>
        <w:t>district</w:t>
      </w:r>
      <w:r>
        <w:rPr>
          <w:b/>
          <w:color w:val="231F20"/>
          <w:spacing w:val="80"/>
          <w:w w:val="150"/>
          <w:sz w:val="24"/>
        </w:rPr>
        <w:t> </w:t>
      </w:r>
      <w:r>
        <w:rPr>
          <w:b/>
          <w:color w:val="231F20"/>
          <w:sz w:val="24"/>
        </w:rPr>
        <w:t>attorney</w:t>
      </w:r>
      <w:r>
        <w:rPr>
          <w:b/>
          <w:color w:val="231F20"/>
          <w:spacing w:val="80"/>
          <w:w w:val="150"/>
          <w:sz w:val="24"/>
        </w:rPr>
        <w:t> </w:t>
      </w:r>
      <w:r>
        <w:rPr>
          <w:b/>
          <w:color w:val="231F20"/>
          <w:sz w:val="24"/>
        </w:rPr>
        <w:t>in</w:t>
      </w:r>
      <w:r>
        <w:rPr>
          <w:b/>
          <w:color w:val="231F20"/>
          <w:spacing w:val="80"/>
          <w:w w:val="150"/>
          <w:sz w:val="24"/>
        </w:rPr>
        <w:t> </w:t>
      </w:r>
      <w:r>
        <w:rPr>
          <w:b/>
          <w:color w:val="231F20"/>
          <w:sz w:val="24"/>
        </w:rPr>
        <w:t>the</w:t>
      </w:r>
      <w:r>
        <w:rPr>
          <w:b/>
          <w:color w:val="231F20"/>
          <w:spacing w:val="80"/>
          <w:w w:val="150"/>
          <w:sz w:val="24"/>
        </w:rPr>
        <w:t> </w:t>
      </w:r>
      <w:r>
        <w:rPr>
          <w:b/>
          <w:color w:val="231F20"/>
          <w:sz w:val="24"/>
        </w:rPr>
        <w:t>county</w:t>
      </w:r>
      <w:r>
        <w:rPr>
          <w:b/>
          <w:color w:val="231F20"/>
          <w:spacing w:val="80"/>
          <w:sz w:val="24"/>
        </w:rPr>
        <w:t> </w:t>
      </w:r>
      <w:r>
        <w:rPr>
          <w:b/>
          <w:color w:val="231F20"/>
          <w:sz w:val="24"/>
        </w:rPr>
        <w:t>of</w:t>
      </w:r>
      <w:r>
        <w:rPr>
          <w:b/>
          <w:color w:val="231F20"/>
          <w:spacing w:val="40"/>
          <w:sz w:val="24"/>
        </w:rPr>
        <w:t> </w:t>
      </w:r>
      <w:r>
        <w:rPr>
          <w:b/>
          <w:color w:val="231F20"/>
          <w:sz w:val="24"/>
        </w:rPr>
        <w:t>jurisdiction.</w:t>
      </w:r>
      <w:r>
        <w:rPr>
          <w:b/>
          <w:color w:val="231F20"/>
          <w:spacing w:val="40"/>
          <w:sz w:val="24"/>
        </w:rPr>
        <w:t> </w:t>
      </w:r>
      <w:r>
        <w:rPr>
          <w:b/>
          <w:color w:val="231F20"/>
          <w:sz w:val="24"/>
        </w:rPr>
        <w:t>However,</w:t>
      </w:r>
      <w:r>
        <w:rPr>
          <w:b/>
          <w:color w:val="231F20"/>
          <w:spacing w:val="40"/>
          <w:sz w:val="24"/>
        </w:rPr>
        <w:t> </w:t>
      </w:r>
      <w:r>
        <w:rPr>
          <w:b/>
          <w:color w:val="231F20"/>
          <w:sz w:val="24"/>
        </w:rPr>
        <w:t>nothing</w:t>
      </w:r>
      <w:r>
        <w:rPr>
          <w:b/>
          <w:color w:val="231F20"/>
          <w:spacing w:val="40"/>
          <w:sz w:val="24"/>
        </w:rPr>
        <w:t> </w:t>
      </w:r>
      <w:r>
        <w:rPr>
          <w:b/>
          <w:color w:val="231F20"/>
          <w:sz w:val="24"/>
        </w:rPr>
        <w:t>in</w:t>
      </w:r>
      <w:r>
        <w:rPr>
          <w:b/>
          <w:color w:val="231F20"/>
          <w:spacing w:val="40"/>
          <w:sz w:val="24"/>
        </w:rPr>
        <w:t> </w:t>
      </w:r>
      <w:r>
        <w:rPr>
          <w:b/>
          <w:color w:val="231F20"/>
          <w:sz w:val="24"/>
        </w:rPr>
        <w:t>that</w:t>
      </w:r>
      <w:r>
        <w:rPr>
          <w:b/>
          <w:color w:val="231F20"/>
          <w:spacing w:val="40"/>
          <w:sz w:val="24"/>
        </w:rPr>
        <w:t> </w:t>
      </w:r>
      <w:r>
        <w:rPr>
          <w:b/>
          <w:color w:val="231F20"/>
          <w:sz w:val="24"/>
        </w:rPr>
        <w:t>act</w:t>
      </w:r>
      <w:r>
        <w:rPr>
          <w:b/>
          <w:color w:val="231F20"/>
          <w:sz w:val="24"/>
        </w:rPr>
        <w:t> shall prevent an individual from independently applying for enforcement through the district courts, provided that the individual first provides written notice of the claimed violation to the public body and that the public body has denied or not</w:t>
      </w:r>
      <w:r>
        <w:rPr>
          <w:b/>
          <w:color w:val="231F20"/>
          <w:sz w:val="24"/>
        </w:rPr>
        <w:t> acted on</w:t>
      </w:r>
      <w:r>
        <w:rPr>
          <w:b/>
          <w:color w:val="231F20"/>
          <w:spacing w:val="40"/>
          <w:sz w:val="24"/>
        </w:rPr>
        <w:t> </w:t>
      </w:r>
      <w:r>
        <w:rPr>
          <w:b/>
          <w:color w:val="231F20"/>
          <w:sz w:val="24"/>
        </w:rPr>
        <w:t>the</w:t>
      </w:r>
      <w:r>
        <w:rPr>
          <w:b/>
          <w:color w:val="231F20"/>
          <w:spacing w:val="-1"/>
          <w:sz w:val="24"/>
        </w:rPr>
        <w:t> </w:t>
      </w:r>
      <w:r>
        <w:rPr>
          <w:b/>
          <w:color w:val="231F20"/>
          <w:sz w:val="24"/>
        </w:rPr>
        <w:t>claim</w:t>
      </w:r>
      <w:r>
        <w:rPr>
          <w:b/>
          <w:color w:val="231F20"/>
          <w:spacing w:val="-3"/>
          <w:sz w:val="24"/>
        </w:rPr>
        <w:t> </w:t>
      </w:r>
      <w:r>
        <w:rPr>
          <w:b/>
          <w:color w:val="231F20"/>
          <w:sz w:val="24"/>
        </w:rPr>
        <w:t>within fifteen days of receiving it. A public meeting held to address a claimed violation of the Open Meetings Act shall include a summary of comments made at the meeting at which the claimed violation </w:t>
      </w:r>
      <w:r>
        <w:rPr>
          <w:b/>
          <w:color w:val="231F20"/>
          <w:spacing w:val="-2"/>
          <w:sz w:val="24"/>
        </w:rPr>
        <w:t>occurred.</w:t>
      </w:r>
    </w:p>
    <w:p>
      <w:pPr>
        <w:spacing w:line="240" w:lineRule="auto" w:before="9"/>
        <w:rPr>
          <w:b/>
          <w:sz w:val="31"/>
        </w:rPr>
      </w:pPr>
      <w:r>
        <w:rPr/>
        <w:br w:type="column"/>
      </w:r>
      <w:r>
        <w:rPr>
          <w:b/>
          <w:sz w:val="31"/>
        </w:rPr>
      </w:r>
    </w:p>
    <w:p>
      <w:pPr>
        <w:pStyle w:val="ListParagraph"/>
        <w:numPr>
          <w:ilvl w:val="0"/>
          <w:numId w:val="5"/>
        </w:numPr>
        <w:tabs>
          <w:tab w:pos="790" w:val="left" w:leader="none"/>
        </w:tabs>
        <w:spacing w:line="240" w:lineRule="auto" w:before="0" w:after="0"/>
        <w:ind w:left="475" w:right="594" w:firstLine="0"/>
        <w:jc w:val="both"/>
        <w:rPr>
          <w:b/>
          <w:sz w:val="24"/>
        </w:rPr>
      </w:pPr>
      <w:r>
        <w:rPr>
          <w:b/>
          <w:color w:val="231F20"/>
          <w:sz w:val="24"/>
        </w:rPr>
        <w:t>The district courts of this state shall have jurisdiction, upon the application of any person to enforce</w:t>
      </w:r>
      <w:r>
        <w:rPr>
          <w:b/>
          <w:color w:val="231F20"/>
          <w:sz w:val="24"/>
        </w:rPr>
        <w:t> the purpose of the Open Meetings Act, by injunction, mandamus or other appropriate order. The court</w:t>
      </w:r>
      <w:r>
        <w:rPr>
          <w:b/>
          <w:color w:val="231F20"/>
          <w:sz w:val="24"/>
        </w:rPr>
        <w:t> shall award costs and reasonable attorney fees to any person who is successful in bringing a court</w:t>
      </w:r>
      <w:r>
        <w:rPr>
          <w:b/>
          <w:color w:val="231F20"/>
          <w:sz w:val="24"/>
        </w:rPr>
        <w:t> action to enforce</w:t>
      </w:r>
      <w:r>
        <w:rPr>
          <w:b/>
          <w:color w:val="231F20"/>
          <w:sz w:val="24"/>
        </w:rPr>
        <w:t> the provisions of the Open Meetings Act. If the prevailing party in a legal action brought under this section is a public body defendant, it shall be awarded court</w:t>
      </w:r>
      <w:r>
        <w:rPr>
          <w:b/>
          <w:color w:val="231F20"/>
          <w:sz w:val="24"/>
        </w:rPr>
        <w:t> costs. A public body defendant that prevails in a court action brought under this section shall be awarded its reasonable attorney fees from the plaintiff if the plaintiff brought the action without sufficient information and belief that</w:t>
      </w:r>
      <w:r>
        <w:rPr>
          <w:b/>
          <w:color w:val="231F20"/>
          <w:sz w:val="24"/>
        </w:rPr>
        <w:t> good</w:t>
      </w:r>
      <w:r>
        <w:rPr>
          <w:b/>
          <w:color w:val="231F20"/>
          <w:sz w:val="24"/>
        </w:rPr>
        <w:t> grounds supported it.</w:t>
      </w:r>
    </w:p>
    <w:p>
      <w:pPr>
        <w:pStyle w:val="BodyText"/>
        <w:spacing w:before="1"/>
        <w:rPr>
          <w:b/>
        </w:rPr>
      </w:pPr>
    </w:p>
    <w:p>
      <w:pPr>
        <w:pStyle w:val="ListParagraph"/>
        <w:numPr>
          <w:ilvl w:val="0"/>
          <w:numId w:val="5"/>
        </w:numPr>
        <w:tabs>
          <w:tab w:pos="776" w:val="left" w:leader="none"/>
        </w:tabs>
        <w:spacing w:line="240" w:lineRule="auto" w:before="0" w:after="0"/>
        <w:ind w:left="475" w:right="596" w:hanging="10"/>
        <w:jc w:val="both"/>
        <w:rPr>
          <w:b/>
          <w:sz w:val="24"/>
        </w:rPr>
      </w:pPr>
      <w:r>
        <w:rPr>
          <w:b/>
          <w:color w:val="231F20"/>
          <w:sz w:val="24"/>
        </w:rPr>
        <w:t>No section of the Open Meetings Act shall be construed to preclude other remedies or rights not</w:t>
      </w:r>
      <w:r>
        <w:rPr>
          <w:b/>
          <w:color w:val="231F20"/>
          <w:sz w:val="24"/>
        </w:rPr>
        <w:t> relating to the question of open </w:t>
      </w:r>
      <w:r>
        <w:rPr>
          <w:b/>
          <w:color w:val="231F20"/>
          <w:spacing w:val="-2"/>
          <w:sz w:val="24"/>
        </w:rPr>
        <w:t>meetings.</w:t>
      </w:r>
    </w:p>
    <w:p>
      <w:pPr>
        <w:pStyle w:val="BodyText"/>
        <w:rPr>
          <w:b/>
        </w:rPr>
      </w:pPr>
    </w:p>
    <w:p>
      <w:pPr>
        <w:spacing w:before="0"/>
        <w:ind w:left="465" w:right="0" w:firstLine="0"/>
        <w:jc w:val="both"/>
        <w:rPr>
          <w:b/>
          <w:sz w:val="24"/>
        </w:rPr>
      </w:pPr>
      <w:r>
        <w:rPr>
          <w:b/>
          <w:color w:val="231F20"/>
          <w:sz w:val="24"/>
        </w:rPr>
        <w:t>10-15-4. </w:t>
      </w:r>
      <w:r>
        <w:rPr>
          <w:b/>
          <w:color w:val="231F20"/>
          <w:spacing w:val="-2"/>
          <w:sz w:val="24"/>
        </w:rPr>
        <w:t>Penalty.</w:t>
      </w:r>
    </w:p>
    <w:p>
      <w:pPr>
        <w:pStyle w:val="BodyText"/>
        <w:rPr>
          <w:b/>
        </w:rPr>
      </w:pPr>
    </w:p>
    <w:p>
      <w:pPr>
        <w:spacing w:before="0"/>
        <w:ind w:left="475" w:right="597" w:firstLine="0"/>
        <w:jc w:val="both"/>
        <w:rPr>
          <w:b/>
          <w:sz w:val="24"/>
        </w:rPr>
      </w:pPr>
      <w:r>
        <w:rPr>
          <w:b/>
          <w:color w:val="231F20"/>
          <w:sz w:val="24"/>
        </w:rPr>
        <w:t>Any person violating any of the provisions of NMSA</w:t>
      </w:r>
      <w:r>
        <w:rPr>
          <w:b/>
          <w:color w:val="231F20"/>
          <w:spacing w:val="66"/>
          <w:sz w:val="24"/>
        </w:rPr>
        <w:t> </w:t>
      </w:r>
      <w:r>
        <w:rPr>
          <w:b/>
          <w:color w:val="231F20"/>
          <w:sz w:val="24"/>
        </w:rPr>
        <w:t>1978,</w:t>
      </w:r>
      <w:r>
        <w:rPr>
          <w:b/>
          <w:color w:val="231F20"/>
          <w:spacing w:val="66"/>
          <w:sz w:val="24"/>
        </w:rPr>
        <w:t> </w:t>
      </w:r>
      <w:r>
        <w:rPr>
          <w:b/>
          <w:color w:val="231F20"/>
          <w:sz w:val="24"/>
        </w:rPr>
        <w:t>Section</w:t>
      </w:r>
      <w:r>
        <w:rPr>
          <w:b/>
          <w:color w:val="231F20"/>
          <w:spacing w:val="70"/>
          <w:sz w:val="24"/>
        </w:rPr>
        <w:t> </w:t>
      </w:r>
      <w:r>
        <w:rPr>
          <w:b/>
          <w:color w:val="231F20"/>
          <w:sz w:val="24"/>
        </w:rPr>
        <w:t>10-15-1</w:t>
      </w:r>
      <w:r>
        <w:rPr>
          <w:b/>
          <w:color w:val="231F20"/>
          <w:spacing w:val="66"/>
          <w:sz w:val="24"/>
        </w:rPr>
        <w:t> </w:t>
      </w:r>
      <w:r>
        <w:rPr>
          <w:b/>
          <w:color w:val="231F20"/>
          <w:sz w:val="24"/>
        </w:rPr>
        <w:t>or</w:t>
      </w:r>
      <w:r>
        <w:rPr>
          <w:b/>
          <w:color w:val="231F20"/>
          <w:spacing w:val="68"/>
          <w:sz w:val="24"/>
        </w:rPr>
        <w:t> </w:t>
      </w:r>
      <w:r>
        <w:rPr>
          <w:b/>
          <w:color w:val="231F20"/>
          <w:sz w:val="24"/>
        </w:rPr>
        <w:t>10-15-2</w:t>
      </w:r>
      <w:r>
        <w:rPr>
          <w:b/>
          <w:color w:val="231F20"/>
          <w:spacing w:val="70"/>
          <w:sz w:val="24"/>
        </w:rPr>
        <w:t> </w:t>
      </w:r>
      <w:r>
        <w:rPr>
          <w:b/>
          <w:color w:val="231F20"/>
          <w:spacing w:val="-5"/>
          <w:sz w:val="24"/>
        </w:rPr>
        <w:t>is</w:t>
      </w:r>
    </w:p>
    <w:p>
      <w:pPr>
        <w:spacing w:before="0"/>
        <w:ind w:left="475" w:right="596" w:firstLine="0"/>
        <w:jc w:val="both"/>
        <w:rPr>
          <w:b/>
          <w:sz w:val="24"/>
        </w:rPr>
      </w:pPr>
      <w:r>
        <w:rPr>
          <w:b/>
          <w:color w:val="231F20"/>
          <w:sz w:val="24"/>
        </w:rPr>
        <w:t>guilty of a misdemeanor and upon conviction shall be punished by a fine of not more than five hundred dollars ($500) for each offense.</w:t>
      </w:r>
    </w:p>
    <w:p>
      <w:pPr>
        <w:pStyle w:val="BodyText"/>
        <w:spacing w:before="7"/>
        <w:rPr>
          <w:b/>
          <w:sz w:val="23"/>
        </w:rPr>
      </w:pPr>
    </w:p>
    <w:p>
      <w:pPr>
        <w:pStyle w:val="BodyText"/>
        <w:ind w:left="475"/>
      </w:pPr>
      <w:r>
        <w:rPr>
          <w:color w:val="231F20"/>
          <w:spacing w:val="-2"/>
          <w:u w:val="single" w:color="231F20"/>
        </w:rPr>
        <w:t>Commentary</w:t>
      </w:r>
    </w:p>
    <w:p>
      <w:pPr>
        <w:pStyle w:val="BodyText"/>
        <w:spacing w:before="9"/>
        <w:rPr>
          <w:sz w:val="23"/>
        </w:rPr>
      </w:pPr>
    </w:p>
    <w:p>
      <w:pPr>
        <w:pStyle w:val="BodyText"/>
        <w:ind w:left="475" w:right="593"/>
        <w:jc w:val="both"/>
      </w:pPr>
      <w:r>
        <w:rPr>
          <w:color w:val="231F20"/>
        </w:rPr>
        <w:t>Public bodies often adopt Robert’s Rules of Order</w:t>
      </w:r>
      <w:r>
        <w:rPr>
          <w:color w:val="231F20"/>
        </w:rPr>
        <w:t> or</w:t>
      </w:r>
      <w:r>
        <w:rPr>
          <w:color w:val="231F20"/>
        </w:rPr>
        <w:t> a</w:t>
      </w:r>
      <w:r>
        <w:rPr>
          <w:color w:val="231F20"/>
        </w:rPr>
        <w:t> similar code of parliamentary procedure to govern the process for calling and conducting meetings and taking action. The public body must take care not to violate the Open Meetings Act in its attempt to comply</w:t>
      </w:r>
      <w:r>
        <w:rPr>
          <w:color w:val="231F20"/>
          <w:spacing w:val="40"/>
        </w:rPr>
        <w:t> </w:t>
      </w:r>
      <w:r>
        <w:rPr>
          <w:color w:val="231F20"/>
        </w:rPr>
        <w:t>with its own parliamentary rules. The Open Meetings Act is mandatory and will supersede any such local policy or procedure. While a violation</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Open</w:t>
      </w:r>
      <w:r>
        <w:rPr>
          <w:color w:val="231F20"/>
          <w:spacing w:val="-4"/>
        </w:rPr>
        <w:t> </w:t>
      </w:r>
      <w:r>
        <w:rPr>
          <w:color w:val="231F20"/>
        </w:rPr>
        <w:t>Meetings</w:t>
      </w:r>
      <w:r>
        <w:rPr>
          <w:color w:val="231F20"/>
          <w:spacing w:val="-4"/>
        </w:rPr>
        <w:t> </w:t>
      </w:r>
      <w:r>
        <w:rPr>
          <w:color w:val="231F20"/>
        </w:rPr>
        <w:t>Act</w:t>
      </w:r>
      <w:r>
        <w:rPr>
          <w:color w:val="231F20"/>
          <w:spacing w:val="-4"/>
        </w:rPr>
        <w:t> </w:t>
      </w:r>
      <w:r>
        <w:rPr>
          <w:color w:val="231F20"/>
        </w:rPr>
        <w:t>will</w:t>
      </w:r>
      <w:r>
        <w:rPr>
          <w:color w:val="231F20"/>
          <w:spacing w:val="-4"/>
        </w:rPr>
        <w:t> </w:t>
      </w:r>
      <w:r>
        <w:rPr>
          <w:color w:val="231F20"/>
        </w:rPr>
        <w:t>void</w:t>
      </w:r>
      <w:r>
        <w:rPr>
          <w:color w:val="231F20"/>
          <w:spacing w:val="-4"/>
        </w:rPr>
        <w:t> </w:t>
      </w:r>
      <w:r>
        <w:rPr>
          <w:color w:val="231F20"/>
        </w:rPr>
        <w:t>the action taken, actions that do not comply with a body’s own parliamentary rules may not be invalidated where there is no statutory</w:t>
      </w:r>
      <w:r>
        <w:rPr>
          <w:color w:val="231F20"/>
          <w:spacing w:val="-4"/>
        </w:rPr>
        <w:t> </w:t>
      </w:r>
      <w:r>
        <w:rPr>
          <w:color w:val="231F20"/>
        </w:rPr>
        <w:t>violation.</w:t>
      </w:r>
    </w:p>
    <w:p>
      <w:pPr>
        <w:spacing w:after="0"/>
        <w:jc w:val="both"/>
        <w:sectPr>
          <w:type w:val="continuous"/>
          <w:pgSz w:w="12240" w:h="15840"/>
          <w:pgMar w:header="660" w:footer="484" w:top="480" w:bottom="280" w:left="360" w:right="240"/>
          <w:cols w:num="2" w:equalWidth="0">
            <w:col w:w="5201" w:space="681"/>
            <w:col w:w="5758"/>
          </w:cols>
        </w:sectPr>
      </w:pPr>
    </w:p>
    <w:p>
      <w:pPr>
        <w:pStyle w:val="BodyText"/>
        <w:spacing w:before="2"/>
        <w:rPr>
          <w:sz w:val="17"/>
        </w:rPr>
      </w:pPr>
    </w:p>
    <w:p>
      <w:pPr>
        <w:pStyle w:val="Heading1"/>
        <w:numPr>
          <w:ilvl w:val="0"/>
          <w:numId w:val="2"/>
        </w:numPr>
        <w:tabs>
          <w:tab w:pos="4203" w:val="left" w:leader="none"/>
        </w:tabs>
        <w:spacing w:line="240" w:lineRule="auto" w:before="75" w:after="0"/>
        <w:ind w:left="2493" w:right="2628" w:firstLine="808"/>
        <w:jc w:val="left"/>
      </w:pPr>
      <w:bookmarkStart w:name="_TOC_250020" w:id="18"/>
      <w:bookmarkStart w:name="III. Section 10-15-1." w:id="19"/>
      <w:r>
        <w:rPr/>
      </w:r>
      <w:bookmarkStart w:name="Formation of Public Policy" w:id="20"/>
      <w:bookmarkEnd w:id="20"/>
      <w:r>
        <w:rPr/>
        <w:t>Sec</w:t>
      </w:r>
      <w:r>
        <w:rPr/>
        <w:t>tion 10-15-1. Formation</w:t>
      </w:r>
      <w:r>
        <w:rPr>
          <w:spacing w:val="-13"/>
        </w:rPr>
        <w:t> </w:t>
      </w:r>
      <w:r>
        <w:rPr/>
        <w:t>of</w:t>
      </w:r>
      <w:r>
        <w:rPr>
          <w:spacing w:val="-14"/>
        </w:rPr>
        <w:t> </w:t>
      </w:r>
      <w:r>
        <w:rPr/>
        <w:t>Public</w:t>
      </w:r>
      <w:r>
        <w:rPr>
          <w:spacing w:val="-13"/>
        </w:rPr>
        <w:t> </w:t>
      </w:r>
      <w:bookmarkEnd w:id="18"/>
      <w:r>
        <w:rPr/>
        <w:t>Policy</w:t>
      </w:r>
    </w:p>
    <w:p>
      <w:pPr>
        <w:pStyle w:val="BodyText"/>
        <w:rPr>
          <w:sz w:val="16"/>
        </w:rPr>
      </w:pPr>
    </w:p>
    <w:p>
      <w:pPr>
        <w:spacing w:after="0"/>
        <w:rPr>
          <w:sz w:val="16"/>
        </w:rPr>
        <w:sectPr>
          <w:pgSz w:w="12240" w:h="15840"/>
          <w:pgMar w:header="660" w:footer="484" w:top="960" w:bottom="900" w:left="360" w:right="240"/>
        </w:sectPr>
      </w:pPr>
    </w:p>
    <w:p>
      <w:pPr>
        <w:pStyle w:val="Heading2"/>
        <w:numPr>
          <w:ilvl w:val="0"/>
          <w:numId w:val="6"/>
        </w:numPr>
        <w:tabs>
          <w:tab w:pos="807" w:val="left" w:leader="none"/>
        </w:tabs>
        <w:spacing w:line="240" w:lineRule="auto" w:before="96" w:after="0"/>
        <w:ind w:left="806" w:right="0" w:hanging="342"/>
        <w:jc w:val="left"/>
      </w:pPr>
      <w:bookmarkStart w:name="_TOC_250019" w:id="21"/>
      <w:bookmarkStart w:name="A. State Policy on Open Meetings" w:id="22"/>
      <w:r>
        <w:rPr>
          <w:color w:val="231F20"/>
        </w:rPr>
        <w:t>S</w:t>
      </w:r>
      <w:r>
        <w:rPr>
          <w:color w:val="231F20"/>
        </w:rPr>
        <w:t>tate</w:t>
      </w:r>
      <w:r>
        <w:rPr>
          <w:color w:val="231F20"/>
          <w:spacing w:val="-4"/>
        </w:rPr>
        <w:t> </w:t>
      </w:r>
      <w:r>
        <w:rPr>
          <w:color w:val="231F20"/>
        </w:rPr>
        <w:t>Policy</w:t>
      </w:r>
      <w:r>
        <w:rPr>
          <w:color w:val="231F20"/>
          <w:spacing w:val="-3"/>
        </w:rPr>
        <w:t> </w:t>
      </w:r>
      <w:r>
        <w:rPr>
          <w:color w:val="231F20"/>
        </w:rPr>
        <w:t>on</w:t>
      </w:r>
      <w:r>
        <w:rPr>
          <w:color w:val="231F20"/>
          <w:spacing w:val="-4"/>
        </w:rPr>
        <w:t> </w:t>
      </w:r>
      <w:r>
        <w:rPr>
          <w:color w:val="231F20"/>
        </w:rPr>
        <w:t>Open</w:t>
      </w:r>
      <w:r>
        <w:rPr>
          <w:color w:val="231F20"/>
          <w:spacing w:val="-3"/>
        </w:rPr>
        <w:t> </w:t>
      </w:r>
      <w:bookmarkEnd w:id="21"/>
      <w:r>
        <w:rPr>
          <w:color w:val="231F20"/>
          <w:spacing w:val="-2"/>
        </w:rPr>
        <w:t>Meetings</w:t>
      </w:r>
    </w:p>
    <w:p>
      <w:pPr>
        <w:pStyle w:val="BodyText"/>
        <w:spacing w:before="9"/>
        <w:rPr>
          <w:b/>
          <w:sz w:val="23"/>
        </w:rPr>
      </w:pPr>
    </w:p>
    <w:p>
      <w:pPr>
        <w:spacing w:before="1"/>
        <w:ind w:left="465" w:right="0" w:firstLine="0"/>
        <w:jc w:val="both"/>
        <w:rPr>
          <w:b/>
          <w:sz w:val="24"/>
        </w:rPr>
      </w:pPr>
      <w:bookmarkStart w:name="The Law" w:id="23"/>
      <w:bookmarkEnd w:id="23"/>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3"/>
        </w:rPr>
      </w:pPr>
    </w:p>
    <w:p>
      <w:pPr>
        <w:spacing w:before="0"/>
        <w:ind w:left="475" w:right="38" w:hanging="10"/>
        <w:jc w:val="both"/>
        <w:rPr>
          <w:b/>
          <w:sz w:val="24"/>
        </w:rPr>
      </w:pPr>
      <w:r>
        <w:rPr>
          <w:b/>
          <w:color w:val="231F20"/>
          <w:sz w:val="24"/>
        </w:rPr>
        <w:t>In recognition of the fact that a</w:t>
      </w:r>
      <w:r>
        <w:rPr>
          <w:b/>
          <w:color w:val="231F20"/>
          <w:spacing w:val="40"/>
          <w:sz w:val="24"/>
        </w:rPr>
        <w:t> </w:t>
      </w:r>
      <w:r>
        <w:rPr>
          <w:b/>
          <w:color w:val="231F20"/>
          <w:sz w:val="24"/>
        </w:rPr>
        <w:t>representative</w:t>
      </w:r>
      <w:r>
        <w:rPr>
          <w:b/>
          <w:color w:val="231F20"/>
          <w:spacing w:val="-8"/>
          <w:sz w:val="24"/>
        </w:rPr>
        <w:t> </w:t>
      </w:r>
      <w:r>
        <w:rPr>
          <w:b/>
          <w:color w:val="231F20"/>
          <w:sz w:val="24"/>
        </w:rPr>
        <w:t>government</w:t>
      </w:r>
      <w:r>
        <w:rPr>
          <w:b/>
          <w:color w:val="231F20"/>
          <w:spacing w:val="-9"/>
          <w:sz w:val="24"/>
        </w:rPr>
        <w:t> </w:t>
      </w:r>
      <w:r>
        <w:rPr>
          <w:b/>
          <w:color w:val="231F20"/>
          <w:sz w:val="24"/>
        </w:rPr>
        <w:t>is</w:t>
      </w:r>
      <w:r>
        <w:rPr>
          <w:b/>
          <w:color w:val="231F20"/>
          <w:spacing w:val="-8"/>
          <w:sz w:val="24"/>
        </w:rPr>
        <w:t> </w:t>
      </w:r>
      <w:r>
        <w:rPr>
          <w:b/>
          <w:color w:val="231F20"/>
          <w:sz w:val="24"/>
        </w:rPr>
        <w:t>dependent</w:t>
      </w:r>
      <w:r>
        <w:rPr>
          <w:b/>
          <w:color w:val="231F20"/>
          <w:spacing w:val="-9"/>
          <w:sz w:val="24"/>
        </w:rPr>
        <w:t> </w:t>
      </w:r>
      <w:r>
        <w:rPr>
          <w:b/>
          <w:color w:val="231F20"/>
          <w:sz w:val="24"/>
        </w:rPr>
        <w:t>upon an informed electorate, it is declared to be public policy of this state that all persons are entitled to the greatest</w:t>
      </w:r>
      <w:r>
        <w:rPr>
          <w:b/>
          <w:color w:val="231F20"/>
          <w:sz w:val="24"/>
        </w:rPr>
        <w:t> possible information regarding the affairs of government</w:t>
      </w:r>
      <w:r>
        <w:rPr>
          <w:b/>
          <w:color w:val="231F20"/>
          <w:sz w:val="24"/>
        </w:rPr>
        <w:t> and the official acts of those officers and employees who represent them. The formation of public policy</w:t>
      </w:r>
      <w:r>
        <w:rPr>
          <w:b/>
          <w:color w:val="231F20"/>
          <w:spacing w:val="-2"/>
          <w:sz w:val="24"/>
        </w:rPr>
        <w:t> </w:t>
      </w:r>
      <w:r>
        <w:rPr>
          <w:b/>
          <w:color w:val="231F20"/>
          <w:sz w:val="24"/>
        </w:rPr>
        <w:t>or</w:t>
      </w:r>
      <w:r>
        <w:rPr>
          <w:b/>
          <w:color w:val="231F20"/>
          <w:spacing w:val="-3"/>
          <w:sz w:val="24"/>
        </w:rPr>
        <w:t> </w:t>
      </w:r>
      <w:r>
        <w:rPr>
          <w:b/>
          <w:color w:val="231F20"/>
          <w:sz w:val="24"/>
        </w:rPr>
        <w:t>the</w:t>
      </w:r>
      <w:r>
        <w:rPr>
          <w:b/>
          <w:color w:val="231F20"/>
          <w:spacing w:val="-3"/>
          <w:sz w:val="24"/>
        </w:rPr>
        <w:t> </w:t>
      </w:r>
      <w:r>
        <w:rPr>
          <w:b/>
          <w:color w:val="231F20"/>
          <w:sz w:val="24"/>
        </w:rPr>
        <w:t>conduct</w:t>
      </w:r>
      <w:r>
        <w:rPr>
          <w:b/>
          <w:color w:val="231F20"/>
          <w:spacing w:val="-4"/>
          <w:sz w:val="24"/>
        </w:rPr>
        <w:t> </w:t>
      </w:r>
      <w:r>
        <w:rPr>
          <w:b/>
          <w:color w:val="231F20"/>
          <w:sz w:val="24"/>
        </w:rPr>
        <w:t>of</w:t>
      </w:r>
      <w:r>
        <w:rPr>
          <w:b/>
          <w:color w:val="231F20"/>
          <w:spacing w:val="-4"/>
          <w:sz w:val="24"/>
        </w:rPr>
        <w:t> </w:t>
      </w:r>
      <w:r>
        <w:rPr>
          <w:b/>
          <w:color w:val="231F20"/>
          <w:sz w:val="24"/>
        </w:rPr>
        <w:t>business</w:t>
      </w:r>
      <w:r>
        <w:rPr>
          <w:b/>
          <w:color w:val="231F20"/>
          <w:spacing w:val="-2"/>
          <w:sz w:val="24"/>
        </w:rPr>
        <w:t> </w:t>
      </w:r>
      <w:r>
        <w:rPr>
          <w:b/>
          <w:color w:val="231F20"/>
          <w:sz w:val="24"/>
        </w:rPr>
        <w:t>by</w:t>
      </w:r>
      <w:r>
        <w:rPr>
          <w:b/>
          <w:color w:val="231F20"/>
          <w:spacing w:val="-2"/>
          <w:sz w:val="24"/>
        </w:rPr>
        <w:t> </w:t>
      </w:r>
      <w:r>
        <w:rPr>
          <w:b/>
          <w:color w:val="231F20"/>
          <w:sz w:val="24"/>
        </w:rPr>
        <w:t>vote</w:t>
      </w:r>
      <w:r>
        <w:rPr>
          <w:b/>
          <w:color w:val="231F20"/>
          <w:spacing w:val="-3"/>
          <w:sz w:val="24"/>
        </w:rPr>
        <w:t> </w:t>
      </w:r>
      <w:r>
        <w:rPr>
          <w:b/>
          <w:color w:val="231F20"/>
          <w:sz w:val="24"/>
        </w:rPr>
        <w:t>shall not</w:t>
      </w:r>
      <w:r>
        <w:rPr>
          <w:b/>
          <w:color w:val="231F20"/>
          <w:sz w:val="24"/>
        </w:rPr>
        <w:t> be conducted in closed meetings. All meetings of any public body except the legislature and the courts shall be public meetings, and all persons so desiring shall be permitted to attend and listen to the deliberations and proceedings. Reasonable efforts shall be made to accommodate the use of audio and video recording devices.</w:t>
      </w:r>
    </w:p>
    <w:p>
      <w:pPr>
        <w:pStyle w:val="BodyText"/>
        <w:spacing w:before="7"/>
        <w:rPr>
          <w:b/>
          <w:sz w:val="23"/>
        </w:rPr>
      </w:pPr>
    </w:p>
    <w:p>
      <w:pPr>
        <w:pStyle w:val="BodyText"/>
        <w:ind w:left="465"/>
      </w:pPr>
      <w:bookmarkStart w:name="Commentary" w:id="24"/>
      <w:bookmarkEnd w:id="24"/>
      <w:r>
        <w:rPr/>
      </w:r>
      <w:r>
        <w:rPr>
          <w:color w:val="231F20"/>
          <w:spacing w:val="-2"/>
          <w:u w:val="single" w:color="231F20"/>
        </w:rPr>
        <w:t>Commentary</w:t>
      </w:r>
    </w:p>
    <w:p>
      <w:pPr>
        <w:pStyle w:val="BodyText"/>
      </w:pPr>
    </w:p>
    <w:p>
      <w:pPr>
        <w:pStyle w:val="BodyText"/>
        <w:ind w:left="475" w:right="39" w:hanging="10"/>
        <w:jc w:val="both"/>
      </w:pPr>
      <w:r>
        <w:rPr>
          <w:color w:val="231F20"/>
        </w:rPr>
        <w:t>This Subsection states the basic open meetings policy</w:t>
      </w:r>
      <w:r>
        <w:rPr>
          <w:color w:val="231F20"/>
          <w:spacing w:val="-3"/>
        </w:rPr>
        <w:t> </w:t>
      </w:r>
      <w:r>
        <w:rPr>
          <w:color w:val="231F20"/>
        </w:rPr>
        <w:t>of the</w:t>
      </w:r>
      <w:r>
        <w:rPr>
          <w:color w:val="231F20"/>
          <w:spacing w:val="-1"/>
        </w:rPr>
        <w:t> </w:t>
      </w:r>
      <w:r>
        <w:rPr>
          <w:color w:val="231F20"/>
        </w:rPr>
        <w:t>state. The Act generally</w:t>
      </w:r>
      <w:r>
        <w:rPr>
          <w:color w:val="231F20"/>
          <w:spacing w:val="-3"/>
        </w:rPr>
        <w:t> </w:t>
      </w:r>
      <w:r>
        <w:rPr>
          <w:color w:val="231F20"/>
        </w:rPr>
        <w:t>prohibits a public body from conducting public business in secret</w:t>
      </w:r>
      <w:r>
        <w:rPr>
          <w:color w:val="231F20"/>
        </w:rPr>
        <w:t> or</w:t>
      </w:r>
      <w:r>
        <w:rPr>
          <w:color w:val="231F20"/>
        </w:rPr>
        <w:t> in</w:t>
      </w:r>
      <w:r>
        <w:rPr>
          <w:color w:val="231F20"/>
        </w:rPr>
        <w:t> closed meetings and requires that such business be conducted by the public body acting as a whole at meetings open to all</w:t>
      </w:r>
      <w:r>
        <w:rPr>
          <w:color w:val="231F20"/>
          <w:spacing w:val="80"/>
        </w:rPr>
        <w:t> </w:t>
      </w:r>
      <w:r>
        <w:rPr>
          <w:color w:val="231F20"/>
        </w:rPr>
        <w:t>persons who wish to attend and listen.</w:t>
      </w:r>
    </w:p>
    <w:p>
      <w:pPr>
        <w:pStyle w:val="BodyText"/>
      </w:pPr>
    </w:p>
    <w:p>
      <w:pPr>
        <w:pStyle w:val="BodyText"/>
        <w:spacing w:before="1"/>
        <w:ind w:left="475" w:right="39" w:hanging="10"/>
        <w:jc w:val="both"/>
      </w:pPr>
      <w:r>
        <w:rPr>
          <w:color w:val="231F20"/>
        </w:rPr>
        <w:t>The Act requires members of a public body to conduct business in public and to allow all persons desiring to attend and listen to the proceedings. These requirements effectively preclude the members of a public body from conferring privately during meetings by passing notes, sending emails and texts or other means.</w:t>
      </w:r>
    </w:p>
    <w:p>
      <w:pPr>
        <w:pStyle w:val="BodyText"/>
      </w:pPr>
    </w:p>
    <w:p>
      <w:pPr>
        <w:pStyle w:val="BodyText"/>
        <w:ind w:left="475" w:right="38" w:hanging="10"/>
        <w:jc w:val="both"/>
      </w:pPr>
      <w:r>
        <w:rPr>
          <w:color w:val="231F20"/>
        </w:rPr>
        <w:t>Unless a public body</w:t>
      </w:r>
      <w:r>
        <w:rPr>
          <w:color w:val="231F20"/>
          <w:spacing w:val="-1"/>
        </w:rPr>
        <w:t> </w:t>
      </w:r>
      <w:r>
        <w:rPr>
          <w:color w:val="231F20"/>
        </w:rPr>
        <w:t>cannot reasonably</w:t>
      </w:r>
      <w:r>
        <w:rPr>
          <w:color w:val="231F20"/>
          <w:spacing w:val="-1"/>
        </w:rPr>
        <w:t> </w:t>
      </w:r>
      <w:r>
        <w:rPr>
          <w:color w:val="231F20"/>
        </w:rPr>
        <w:t>do so, it must permit members of the public attending its meetings</w:t>
      </w:r>
      <w:r>
        <w:rPr>
          <w:color w:val="231F20"/>
          <w:spacing w:val="71"/>
        </w:rPr>
        <w:t>  </w:t>
      </w:r>
      <w:r>
        <w:rPr>
          <w:color w:val="231F20"/>
        </w:rPr>
        <w:t>to</w:t>
      </w:r>
      <w:r>
        <w:rPr>
          <w:color w:val="231F20"/>
          <w:spacing w:val="72"/>
        </w:rPr>
        <w:t>  </w:t>
      </w:r>
      <w:r>
        <w:rPr>
          <w:color w:val="231F20"/>
        </w:rPr>
        <w:t>record</w:t>
      </w:r>
      <w:r>
        <w:rPr>
          <w:color w:val="231F20"/>
          <w:spacing w:val="72"/>
        </w:rPr>
        <w:t>  </w:t>
      </w:r>
      <w:r>
        <w:rPr>
          <w:color w:val="231F20"/>
        </w:rPr>
        <w:t>or</w:t>
      </w:r>
      <w:r>
        <w:rPr>
          <w:color w:val="231F20"/>
          <w:spacing w:val="71"/>
        </w:rPr>
        <w:t>  </w:t>
      </w:r>
      <w:r>
        <w:rPr>
          <w:color w:val="231F20"/>
        </w:rPr>
        <w:t>video</w:t>
      </w:r>
      <w:r>
        <w:rPr>
          <w:color w:val="231F20"/>
          <w:spacing w:val="72"/>
        </w:rPr>
        <w:t>  </w:t>
      </w:r>
      <w:r>
        <w:rPr>
          <w:color w:val="231F20"/>
        </w:rPr>
        <w:t>tape</w:t>
      </w:r>
      <w:r>
        <w:rPr>
          <w:color w:val="231F20"/>
          <w:spacing w:val="72"/>
        </w:rPr>
        <w:t>  </w:t>
      </w:r>
      <w:r>
        <w:rPr>
          <w:color w:val="231F20"/>
          <w:spacing w:val="-5"/>
        </w:rPr>
        <w:t>the</w:t>
      </w:r>
    </w:p>
    <w:p>
      <w:pPr>
        <w:pStyle w:val="BodyText"/>
        <w:spacing w:before="90"/>
        <w:ind w:left="475" w:right="599"/>
        <w:jc w:val="both"/>
      </w:pPr>
      <w:r>
        <w:rPr/>
        <w:br w:type="column"/>
      </w:r>
      <w:r>
        <w:rPr>
          <w:color w:val="231F20"/>
        </w:rPr>
        <w:t>proceedings. The Act does not require a public body</w:t>
      </w:r>
      <w:r>
        <w:rPr>
          <w:color w:val="231F20"/>
          <w:spacing w:val="-2"/>
        </w:rPr>
        <w:t> </w:t>
      </w:r>
      <w:r>
        <w:rPr>
          <w:color w:val="231F20"/>
        </w:rPr>
        <w:t>to allow members of the public to speak at its meetings.</w:t>
      </w:r>
    </w:p>
    <w:p>
      <w:pPr>
        <w:pStyle w:val="BodyText"/>
      </w:pPr>
    </w:p>
    <w:p>
      <w:pPr>
        <w:spacing w:before="0"/>
        <w:ind w:left="465" w:right="0" w:firstLine="0"/>
        <w:jc w:val="both"/>
        <w:rPr>
          <w:i/>
          <w:sz w:val="24"/>
        </w:rPr>
      </w:pPr>
      <w:bookmarkStart w:name="Example 1:" w:id="25"/>
      <w:bookmarkEnd w:id="2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w:t>
      </w:r>
    </w:p>
    <w:p>
      <w:pPr>
        <w:pStyle w:val="BodyText"/>
        <w:rPr>
          <w:i/>
        </w:rPr>
      </w:pPr>
    </w:p>
    <w:p>
      <w:pPr>
        <w:spacing w:before="0"/>
        <w:ind w:left="475" w:right="595" w:hanging="10"/>
        <w:jc w:val="both"/>
        <w:rPr>
          <w:i/>
          <w:sz w:val="24"/>
        </w:rPr>
      </w:pPr>
      <w:r>
        <w:rPr>
          <w:i/>
          <w:color w:val="231F20"/>
          <w:sz w:val="24"/>
        </w:rPr>
        <w:t>A county manager needs the immediate</w:t>
      </w:r>
      <w:r>
        <w:rPr>
          <w:i/>
          <w:color w:val="231F20"/>
          <w:spacing w:val="40"/>
          <w:sz w:val="24"/>
        </w:rPr>
        <w:t> </w:t>
      </w:r>
      <w:r>
        <w:rPr>
          <w:i/>
          <w:color w:val="231F20"/>
          <w:sz w:val="24"/>
        </w:rPr>
        <w:t>approval of the board of county commissioners before executing a contract and calls the commissioners individually by telephone to secure such approval. Such a telephone poll </w:t>
      </w:r>
      <w:r>
        <w:rPr>
          <w:i/>
          <w:color w:val="231F20"/>
          <w:sz w:val="24"/>
        </w:rPr>
        <w:t>as</w:t>
      </w:r>
      <w:r>
        <w:rPr>
          <w:i/>
          <w:color w:val="231F20"/>
          <w:spacing w:val="40"/>
          <w:sz w:val="24"/>
        </w:rPr>
        <w:t> </w:t>
      </w:r>
      <w:r>
        <w:rPr>
          <w:i/>
          <w:color w:val="231F20"/>
          <w:sz w:val="24"/>
        </w:rPr>
        <w:t>a substitute for official board action violates the intent of the Act. However, the board may avoid such hazards if it discusses the anticipated contract at a properly convened meeting and delegates to the county manager, its chief administrative officer, the authority to execute</w:t>
      </w:r>
      <w:r>
        <w:rPr>
          <w:i/>
          <w:color w:val="231F20"/>
          <w:spacing w:val="40"/>
          <w:sz w:val="24"/>
        </w:rPr>
        <w:t> </w:t>
      </w:r>
      <w:r>
        <w:rPr>
          <w:i/>
          <w:color w:val="231F20"/>
          <w:sz w:val="24"/>
        </w:rPr>
        <w:t>in the board’s name. The county manager is not absolutely precluded from </w:t>
      </w:r>
      <w:r>
        <w:rPr>
          <w:i/>
          <w:color w:val="231F20"/>
          <w:sz w:val="24"/>
        </w:rPr>
        <w:t>telephoning individual commissioners. The telephone poll is improper in this example because it is used to secure the approval of or final action by the board outside of an open meeting.</w:t>
      </w:r>
    </w:p>
    <w:p>
      <w:pPr>
        <w:pStyle w:val="BodyText"/>
        <w:rPr>
          <w:i/>
        </w:rPr>
      </w:pPr>
    </w:p>
    <w:p>
      <w:pPr>
        <w:spacing w:before="0"/>
        <w:ind w:left="465" w:right="0" w:firstLine="0"/>
        <w:jc w:val="both"/>
        <w:rPr>
          <w:i/>
          <w:sz w:val="24"/>
        </w:rPr>
      </w:pPr>
      <w:bookmarkStart w:name="Example 2:" w:id="26"/>
      <w:bookmarkEnd w:id="2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w:t>
      </w:r>
    </w:p>
    <w:p>
      <w:pPr>
        <w:pStyle w:val="BodyText"/>
        <w:rPr>
          <w:i/>
        </w:rPr>
      </w:pPr>
    </w:p>
    <w:p>
      <w:pPr>
        <w:spacing w:line="240" w:lineRule="auto" w:before="0"/>
        <w:ind w:left="475" w:right="596" w:hanging="10"/>
        <w:jc w:val="both"/>
        <w:rPr>
          <w:i/>
          <w:sz w:val="24"/>
        </w:rPr>
      </w:pPr>
      <w:r>
        <w:rPr>
          <w:i/>
          <w:color w:val="231F20"/>
          <w:sz w:val="24"/>
        </w:rPr>
        <w:t>The city council is contemplating an ordinance</w:t>
      </w:r>
      <w:r>
        <w:rPr>
          <w:i/>
          <w:color w:val="231F20"/>
          <w:sz w:val="24"/>
        </w:rPr>
        <w:t> adopting an 11:00 p.m. curfew for all </w:t>
      </w:r>
      <w:r>
        <w:rPr>
          <w:i/>
          <w:color w:val="231F20"/>
          <w:sz w:val="24"/>
        </w:rPr>
        <w:t>persons under 18 years of age. Hundreds of residents attend the first meeting on the ordinance, carrying placards for and against it. The audience becomes loud and agitated and the local police remove several people for making threats against the council. The meeting lasts until 2:15 a.m. At the next meeting on the ordinance, the council limits presentations to those persons whose remarks are submitted to the council five days in advance of the meeting and places a five minute limit on such remarks.</w:t>
      </w:r>
    </w:p>
    <w:p>
      <w:pPr>
        <w:pStyle w:val="BodyText"/>
        <w:rPr>
          <w:i/>
          <w:sz w:val="28"/>
        </w:rPr>
      </w:pPr>
    </w:p>
    <w:p>
      <w:pPr>
        <w:spacing w:before="0"/>
        <w:ind w:left="475" w:right="735" w:firstLine="0"/>
        <w:jc w:val="both"/>
        <w:rPr>
          <w:i/>
          <w:sz w:val="24"/>
        </w:rPr>
      </w:pPr>
      <w:r>
        <w:rPr>
          <w:i/>
          <w:color w:val="231F20"/>
          <w:sz w:val="24"/>
        </w:rPr>
        <w:t>Such restrictions are permitted. The Act</w:t>
      </w:r>
      <w:r>
        <w:rPr>
          <w:i/>
          <w:color w:val="231F20"/>
          <w:sz w:val="24"/>
        </w:rPr>
        <w:t> requires only that persons be permitted to “attend</w:t>
      </w:r>
      <w:r>
        <w:rPr>
          <w:i/>
          <w:color w:val="231F20"/>
          <w:spacing w:val="6"/>
          <w:sz w:val="24"/>
        </w:rPr>
        <w:t> </w:t>
      </w:r>
      <w:r>
        <w:rPr>
          <w:i/>
          <w:color w:val="231F20"/>
          <w:sz w:val="24"/>
        </w:rPr>
        <w:t>and</w:t>
      </w:r>
      <w:r>
        <w:rPr>
          <w:i/>
          <w:color w:val="231F20"/>
          <w:spacing w:val="7"/>
          <w:sz w:val="24"/>
        </w:rPr>
        <w:t> </w:t>
      </w:r>
      <w:r>
        <w:rPr>
          <w:i/>
          <w:color w:val="231F20"/>
          <w:sz w:val="24"/>
        </w:rPr>
        <w:t>listen.”</w:t>
      </w:r>
      <w:r>
        <w:rPr>
          <w:i/>
          <w:color w:val="231F20"/>
          <w:spacing w:val="7"/>
          <w:sz w:val="24"/>
        </w:rPr>
        <w:t> </w:t>
      </w:r>
      <w:r>
        <w:rPr>
          <w:i/>
          <w:color w:val="231F20"/>
          <w:sz w:val="24"/>
        </w:rPr>
        <w:t>An</w:t>
      </w:r>
      <w:r>
        <w:rPr>
          <w:i/>
          <w:color w:val="231F20"/>
          <w:spacing w:val="5"/>
          <w:sz w:val="24"/>
        </w:rPr>
        <w:t> </w:t>
      </w:r>
      <w:r>
        <w:rPr>
          <w:i/>
          <w:color w:val="231F20"/>
          <w:sz w:val="24"/>
        </w:rPr>
        <w:t>open</w:t>
      </w:r>
      <w:r>
        <w:rPr>
          <w:i/>
          <w:color w:val="231F20"/>
          <w:spacing w:val="6"/>
          <w:sz w:val="24"/>
        </w:rPr>
        <w:t> </w:t>
      </w:r>
      <w:r>
        <w:rPr>
          <w:i/>
          <w:color w:val="231F20"/>
          <w:sz w:val="24"/>
        </w:rPr>
        <w:t>public</w:t>
      </w:r>
      <w:r>
        <w:rPr>
          <w:i/>
          <w:color w:val="231F20"/>
          <w:spacing w:val="6"/>
          <w:sz w:val="24"/>
        </w:rPr>
        <w:t> </w:t>
      </w:r>
      <w:r>
        <w:rPr>
          <w:i/>
          <w:color w:val="231F20"/>
          <w:sz w:val="24"/>
        </w:rPr>
        <w:t>meeting</w:t>
      </w:r>
      <w:r>
        <w:rPr>
          <w:i/>
          <w:color w:val="231F20"/>
          <w:spacing w:val="6"/>
          <w:sz w:val="24"/>
        </w:rPr>
        <w:t> </w:t>
      </w:r>
      <w:r>
        <w:rPr>
          <w:i/>
          <w:color w:val="231F20"/>
          <w:spacing w:val="-5"/>
          <w:sz w:val="24"/>
        </w:rPr>
        <w:t>is</w:t>
      </w:r>
    </w:p>
    <w:p>
      <w:pPr>
        <w:spacing w:after="0"/>
        <w:jc w:val="both"/>
        <w:rPr>
          <w:sz w:val="24"/>
        </w:rPr>
        <w:sectPr>
          <w:type w:val="continuous"/>
          <w:pgSz w:w="12240" w:h="15840"/>
          <w:pgMar w:header="660" w:footer="484" w:top="480" w:bottom="280" w:left="360" w:right="240"/>
          <w:cols w:num="2" w:equalWidth="0">
            <w:col w:w="5201" w:space="681"/>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42" w:firstLine="0"/>
        <w:jc w:val="both"/>
        <w:rPr>
          <w:i/>
          <w:sz w:val="24"/>
        </w:rPr>
      </w:pPr>
      <w:r>
        <w:rPr>
          <w:i/>
          <w:color w:val="231F20"/>
          <w:sz w:val="24"/>
        </w:rPr>
        <w:t>not necessarily an open forum and, so long as</w:t>
      </w:r>
      <w:r>
        <w:rPr>
          <w:i/>
          <w:color w:val="231F20"/>
          <w:sz w:val="24"/>
        </w:rPr>
        <w:t> the Act is complied with, public bodies may limit or not allow public debate and may take steps necessary to maintain public order.</w:t>
      </w:r>
    </w:p>
    <w:p>
      <w:pPr>
        <w:pStyle w:val="BodyText"/>
        <w:spacing w:before="11"/>
        <w:rPr>
          <w:i/>
          <w:sz w:val="23"/>
        </w:rPr>
      </w:pPr>
    </w:p>
    <w:p>
      <w:pPr>
        <w:pStyle w:val="BodyText"/>
        <w:ind w:left="475"/>
      </w:pPr>
      <w:bookmarkStart w:name="Commentary" w:id="27"/>
      <w:bookmarkEnd w:id="27"/>
      <w:r>
        <w:rPr/>
      </w:r>
      <w:r>
        <w:rPr>
          <w:color w:val="231F20"/>
          <w:spacing w:val="-2"/>
          <w:u w:val="single" w:color="231F20"/>
        </w:rPr>
        <w:t>Commentary</w:t>
      </w:r>
    </w:p>
    <w:p>
      <w:pPr>
        <w:pStyle w:val="BodyText"/>
      </w:pPr>
    </w:p>
    <w:p>
      <w:pPr>
        <w:pStyle w:val="BodyText"/>
        <w:ind w:left="475" w:right="41"/>
        <w:jc w:val="both"/>
      </w:pPr>
      <w:r>
        <w:rPr>
          <w:color w:val="231F20"/>
        </w:rPr>
        <w:t>The courts and the legislature are excluded from the provisions of the Act that apply to other public bodies. Provisions of the Act specifically applicable to the legislature are discussed in Section IV.</w:t>
      </w:r>
    </w:p>
    <w:p>
      <w:pPr>
        <w:pStyle w:val="BodyText"/>
      </w:pPr>
    </w:p>
    <w:p>
      <w:pPr>
        <w:spacing w:before="0"/>
        <w:ind w:left="475" w:right="0" w:firstLine="0"/>
        <w:jc w:val="left"/>
        <w:rPr>
          <w:i/>
          <w:sz w:val="24"/>
        </w:rPr>
      </w:pPr>
      <w:bookmarkStart w:name="Example 3:" w:id="28"/>
      <w:bookmarkEnd w:id="2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w:t>
      </w:r>
    </w:p>
    <w:p>
      <w:pPr>
        <w:pStyle w:val="BodyText"/>
        <w:rPr>
          <w:i/>
        </w:rPr>
      </w:pPr>
    </w:p>
    <w:p>
      <w:pPr>
        <w:spacing w:before="0"/>
        <w:ind w:left="475" w:right="40" w:firstLine="0"/>
        <w:jc w:val="both"/>
        <w:rPr>
          <w:i/>
          <w:sz w:val="24"/>
        </w:rPr>
      </w:pPr>
      <w:r>
        <w:rPr>
          <w:i/>
          <w:color w:val="231F20"/>
          <w:sz w:val="24"/>
        </w:rPr>
        <w:t>The Disciplinary Board established by the</w:t>
      </w:r>
      <w:r>
        <w:rPr>
          <w:i/>
          <w:color w:val="231F20"/>
          <w:sz w:val="24"/>
        </w:rPr>
        <w:t> State Supreme Court to investigate attorney misconduct holds a meeting to discuss hearing procedures. Because the Board is established by the Supreme Court and is an agency of the court, it is not subject to the Act under the express exemption for courts. Although exempt from the Act’s coverage, the Supreme Court is free to promulgate regulations covering whether and when the Board’s meetings are open to the public and requirements for public notice if it so chooses.</w:t>
      </w:r>
    </w:p>
    <w:p>
      <w:pPr>
        <w:pStyle w:val="BodyText"/>
        <w:spacing w:before="1"/>
        <w:rPr>
          <w:i/>
        </w:rPr>
      </w:pPr>
    </w:p>
    <w:p>
      <w:pPr>
        <w:pStyle w:val="BodyText"/>
        <w:ind w:left="475"/>
      </w:pPr>
      <w:bookmarkStart w:name="Commentary" w:id="29"/>
      <w:bookmarkEnd w:id="29"/>
      <w:r>
        <w:rPr/>
      </w:r>
      <w:r>
        <w:rPr>
          <w:color w:val="231F20"/>
          <w:spacing w:val="-2"/>
          <w:u w:val="single" w:color="231F20"/>
        </w:rPr>
        <w:t>Commentary</w:t>
      </w:r>
    </w:p>
    <w:p>
      <w:pPr>
        <w:pStyle w:val="BodyText"/>
      </w:pPr>
    </w:p>
    <w:p>
      <w:pPr>
        <w:pStyle w:val="BodyText"/>
        <w:ind w:left="475" w:right="38"/>
        <w:jc w:val="both"/>
      </w:pPr>
      <w:r>
        <w:rPr>
          <w:color w:val="231F20"/>
        </w:rPr>
        <w:t>As a policy statement, Subsection A generally sets forth the spirit or intent of The Law and serves as the guiding principle to be followed in applying the particular provisions of the</w:t>
      </w:r>
      <w:r>
        <w:rPr>
          <w:color w:val="231F20"/>
          <w:spacing w:val="40"/>
        </w:rPr>
        <w:t> </w:t>
      </w:r>
      <w:r>
        <w:rPr>
          <w:color w:val="231F20"/>
        </w:rPr>
        <w:t>Act. Where a situation is not specifically covered by the Act, doubt as to the proper course of action should be resolved in favor of openness whenever possible. Compliance with the Act is not just a matter of adhering to the Act’s specific requirements, but contemplates</w:t>
      </w:r>
      <w:r>
        <w:rPr>
          <w:color w:val="231F20"/>
          <w:spacing w:val="40"/>
        </w:rPr>
        <w:t> </w:t>
      </w:r>
      <w:r>
        <w:rPr>
          <w:color w:val="231F20"/>
        </w:rPr>
        <w:t>a more flexible obligation of public bodies to open their deliberations to public scrutiny.</w:t>
      </w:r>
    </w:p>
    <w:p>
      <w:pPr>
        <w:pStyle w:val="BodyText"/>
        <w:spacing w:before="3"/>
      </w:pPr>
    </w:p>
    <w:p>
      <w:pPr>
        <w:pStyle w:val="Heading2"/>
        <w:numPr>
          <w:ilvl w:val="0"/>
          <w:numId w:val="6"/>
        </w:numPr>
        <w:tabs>
          <w:tab w:pos="802" w:val="left" w:leader="none"/>
        </w:tabs>
        <w:spacing w:line="240" w:lineRule="auto" w:before="1" w:after="0"/>
        <w:ind w:left="801" w:right="0" w:hanging="327"/>
        <w:jc w:val="left"/>
      </w:pPr>
      <w:bookmarkStart w:name="_TOC_250018" w:id="30"/>
      <w:bookmarkStart w:name="B. Public Meetings Subject to the Act" w:id="31"/>
      <w:r>
        <w:rPr>
          <w:color w:val="231F20"/>
        </w:rPr>
        <w:t>P</w:t>
      </w:r>
      <w:r>
        <w:rPr>
          <w:color w:val="231F20"/>
        </w:rPr>
        <w:t>ublic</w:t>
      </w:r>
      <w:r>
        <w:rPr>
          <w:color w:val="231F20"/>
          <w:spacing w:val="-6"/>
        </w:rPr>
        <w:t> </w:t>
      </w:r>
      <w:r>
        <w:rPr>
          <w:color w:val="231F20"/>
        </w:rPr>
        <w:t>Meetings</w:t>
      </w:r>
      <w:r>
        <w:rPr>
          <w:color w:val="231F20"/>
          <w:spacing w:val="-5"/>
        </w:rPr>
        <w:t> </w:t>
      </w:r>
      <w:r>
        <w:rPr>
          <w:color w:val="231F20"/>
        </w:rPr>
        <w:t>Subject</w:t>
      </w:r>
      <w:r>
        <w:rPr>
          <w:color w:val="231F20"/>
          <w:spacing w:val="-4"/>
        </w:rPr>
        <w:t> </w:t>
      </w:r>
      <w:r>
        <w:rPr>
          <w:color w:val="231F20"/>
        </w:rPr>
        <w:t>to</w:t>
      </w:r>
      <w:r>
        <w:rPr>
          <w:color w:val="231F20"/>
          <w:spacing w:val="-3"/>
        </w:rPr>
        <w:t> </w:t>
      </w:r>
      <w:r>
        <w:rPr>
          <w:color w:val="231F20"/>
        </w:rPr>
        <w:t>the</w:t>
      </w:r>
      <w:r>
        <w:rPr>
          <w:color w:val="231F20"/>
          <w:spacing w:val="-4"/>
        </w:rPr>
        <w:t> </w:t>
      </w:r>
      <w:bookmarkEnd w:id="30"/>
      <w:r>
        <w:rPr>
          <w:color w:val="231F20"/>
          <w:spacing w:val="-5"/>
        </w:rPr>
        <w:t>Act</w:t>
      </w:r>
    </w:p>
    <w:p>
      <w:pPr>
        <w:pStyle w:val="BodyText"/>
        <w:rPr>
          <w:b/>
        </w:rPr>
      </w:pPr>
    </w:p>
    <w:p>
      <w:pPr>
        <w:spacing w:before="1"/>
        <w:ind w:left="475" w:right="0" w:firstLine="0"/>
        <w:jc w:val="left"/>
        <w:rPr>
          <w:b/>
          <w:sz w:val="24"/>
        </w:rPr>
      </w:pPr>
      <w:bookmarkStart w:name="The Law" w:id="32"/>
      <w:bookmarkEnd w:id="32"/>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3"/>
        </w:rPr>
      </w:pPr>
    </w:p>
    <w:p>
      <w:pPr>
        <w:tabs>
          <w:tab w:pos="1096" w:val="left" w:leader="none"/>
          <w:tab w:pos="2018" w:val="left" w:leader="none"/>
          <w:tab w:pos="3525" w:val="left" w:leader="none"/>
        </w:tabs>
        <w:spacing w:before="0"/>
        <w:ind w:left="475" w:right="42" w:firstLine="0"/>
        <w:jc w:val="left"/>
        <w:rPr>
          <w:b/>
          <w:sz w:val="24"/>
        </w:rPr>
      </w:pPr>
      <w:r>
        <w:rPr>
          <w:b/>
          <w:color w:val="231F20"/>
          <w:sz w:val="24"/>
        </w:rPr>
        <w:t>All</w:t>
      </w:r>
      <w:r>
        <w:rPr>
          <w:b/>
          <w:color w:val="231F20"/>
          <w:spacing w:val="40"/>
          <w:sz w:val="24"/>
        </w:rPr>
        <w:t> </w:t>
      </w:r>
      <w:r>
        <w:rPr>
          <w:b/>
          <w:color w:val="231F20"/>
          <w:sz w:val="24"/>
        </w:rPr>
        <w:t>meetings</w:t>
      </w:r>
      <w:r>
        <w:rPr>
          <w:b/>
          <w:color w:val="231F20"/>
          <w:spacing w:val="40"/>
          <w:sz w:val="24"/>
        </w:rPr>
        <w:t> </w:t>
      </w:r>
      <w:r>
        <w:rPr>
          <w:b/>
          <w:color w:val="231F20"/>
          <w:sz w:val="24"/>
        </w:rPr>
        <w:t>of</w:t>
      </w:r>
      <w:r>
        <w:rPr>
          <w:b/>
          <w:color w:val="231F20"/>
          <w:spacing w:val="40"/>
          <w:sz w:val="24"/>
        </w:rPr>
        <w:t> </w:t>
      </w:r>
      <w:r>
        <w:rPr>
          <w:b/>
          <w:color w:val="231F20"/>
          <w:sz w:val="24"/>
        </w:rPr>
        <w:t>a</w:t>
      </w:r>
      <w:r>
        <w:rPr>
          <w:b/>
          <w:color w:val="231F20"/>
          <w:spacing w:val="40"/>
          <w:sz w:val="24"/>
        </w:rPr>
        <w:t> </w:t>
      </w:r>
      <w:r>
        <w:rPr>
          <w:b/>
          <w:color w:val="231F20"/>
          <w:sz w:val="24"/>
        </w:rPr>
        <w:t>quorum</w:t>
      </w:r>
      <w:r>
        <w:rPr>
          <w:b/>
          <w:color w:val="231F20"/>
          <w:spacing w:val="40"/>
          <w:sz w:val="24"/>
        </w:rPr>
        <w:t> </w:t>
      </w:r>
      <w:r>
        <w:rPr>
          <w:b/>
          <w:color w:val="231F20"/>
          <w:sz w:val="24"/>
        </w:rPr>
        <w:t>of</w:t>
      </w:r>
      <w:r>
        <w:rPr>
          <w:b/>
          <w:color w:val="231F20"/>
          <w:spacing w:val="40"/>
          <w:sz w:val="24"/>
        </w:rPr>
        <w:t> </w:t>
      </w:r>
      <w:r>
        <w:rPr>
          <w:b/>
          <w:color w:val="231F20"/>
          <w:sz w:val="24"/>
        </w:rPr>
        <w:t>members</w:t>
      </w:r>
      <w:r>
        <w:rPr>
          <w:b/>
          <w:color w:val="231F20"/>
          <w:spacing w:val="40"/>
          <w:sz w:val="24"/>
        </w:rPr>
        <w:t> </w:t>
      </w:r>
      <w:r>
        <w:rPr>
          <w:b/>
          <w:color w:val="231F20"/>
          <w:sz w:val="24"/>
        </w:rPr>
        <w:t>of </w:t>
      </w:r>
      <w:r>
        <w:rPr>
          <w:b/>
          <w:color w:val="231F20"/>
          <w:spacing w:val="-5"/>
          <w:sz w:val="24"/>
        </w:rPr>
        <w:t>any</w:t>
      </w:r>
      <w:r>
        <w:rPr>
          <w:b/>
          <w:color w:val="231F20"/>
          <w:sz w:val="24"/>
        </w:rPr>
        <w:tab/>
      </w:r>
      <w:r>
        <w:rPr>
          <w:b/>
          <w:color w:val="231F20"/>
          <w:spacing w:val="-2"/>
          <w:sz w:val="24"/>
        </w:rPr>
        <w:t>board,</w:t>
      </w:r>
      <w:r>
        <w:rPr>
          <w:b/>
          <w:color w:val="231F20"/>
          <w:sz w:val="24"/>
        </w:rPr>
        <w:tab/>
      </w:r>
      <w:r>
        <w:rPr>
          <w:b/>
          <w:color w:val="231F20"/>
          <w:spacing w:val="-2"/>
          <w:sz w:val="24"/>
        </w:rPr>
        <w:t>commission,</w:t>
      </w:r>
      <w:r>
        <w:rPr>
          <w:b/>
          <w:color w:val="231F20"/>
          <w:sz w:val="24"/>
        </w:rPr>
        <w:tab/>
      </w:r>
      <w:r>
        <w:rPr>
          <w:b/>
          <w:color w:val="231F20"/>
          <w:spacing w:val="-2"/>
          <w:sz w:val="24"/>
        </w:rPr>
        <w:t>administrative</w:t>
      </w:r>
    </w:p>
    <w:p>
      <w:pPr>
        <w:spacing w:before="94"/>
        <w:ind w:left="475" w:right="733" w:firstLine="0"/>
        <w:jc w:val="both"/>
        <w:rPr>
          <w:b/>
          <w:sz w:val="24"/>
        </w:rPr>
      </w:pPr>
      <w:r>
        <w:rPr/>
        <w:br w:type="column"/>
      </w:r>
      <w:r>
        <w:rPr>
          <w:b/>
          <w:color w:val="231F20"/>
          <w:sz w:val="24"/>
        </w:rPr>
        <w:t>adjudicatory body or other policymaking body of any state</w:t>
      </w:r>
      <w:r>
        <w:rPr>
          <w:b/>
          <w:color w:val="231F20"/>
          <w:sz w:val="24"/>
        </w:rPr>
        <w:t> agency, any agency or authority of any county,</w:t>
      </w:r>
      <w:r>
        <w:rPr>
          <w:b/>
          <w:color w:val="231F20"/>
          <w:sz w:val="24"/>
        </w:rPr>
        <w:t> municipality, district or any political subdivision, held for the purpose of formulating public policy, including the development of personnel policy, rules, regulations or ordinances, discussing public business or for the</w:t>
      </w:r>
      <w:r>
        <w:rPr>
          <w:b/>
          <w:color w:val="231F20"/>
          <w:spacing w:val="40"/>
          <w:sz w:val="24"/>
        </w:rPr>
        <w:t> </w:t>
      </w:r>
      <w:r>
        <w:rPr>
          <w:b/>
          <w:color w:val="231F20"/>
          <w:sz w:val="24"/>
        </w:rPr>
        <w:t>purpose of taking any action within the authority of or the delegated authority of any board, commission or other policymaking body are declared to be</w:t>
      </w:r>
      <w:r>
        <w:rPr>
          <w:b/>
          <w:color w:val="231F20"/>
          <w:spacing w:val="80"/>
          <w:sz w:val="24"/>
        </w:rPr>
        <w:t> </w:t>
      </w:r>
      <w:r>
        <w:rPr>
          <w:b/>
          <w:color w:val="231F20"/>
          <w:sz w:val="24"/>
        </w:rPr>
        <w:t>public meetings open to the public at all times, except</w:t>
      </w:r>
      <w:r>
        <w:rPr>
          <w:b/>
          <w:color w:val="231F20"/>
          <w:sz w:val="24"/>
        </w:rPr>
        <w:t> as otherwise provided in the constitution of New Mexico or the Open Meetings Act.</w:t>
      </w:r>
      <w:r>
        <w:rPr>
          <w:b/>
          <w:color w:val="231F20"/>
          <w:spacing w:val="40"/>
          <w:sz w:val="24"/>
        </w:rPr>
        <w:t> </w:t>
      </w:r>
      <w:r>
        <w:rPr>
          <w:b/>
          <w:color w:val="231F20"/>
          <w:sz w:val="24"/>
        </w:rPr>
        <w:t>No public meeting once convened that is otherwise required to be open pursuant to the Open Meetings Act shall be closed or dissolved into</w:t>
      </w:r>
      <w:r>
        <w:rPr>
          <w:b/>
          <w:color w:val="231F20"/>
          <w:sz w:val="24"/>
        </w:rPr>
        <w:t> small</w:t>
      </w:r>
      <w:r>
        <w:rPr>
          <w:b/>
          <w:color w:val="231F20"/>
          <w:spacing w:val="40"/>
          <w:sz w:val="24"/>
        </w:rPr>
        <w:t> </w:t>
      </w:r>
      <w:r>
        <w:rPr>
          <w:b/>
          <w:color w:val="231F20"/>
          <w:sz w:val="24"/>
        </w:rPr>
        <w:t>groups or committees for the purpose of permitting the closing of the meeting.</w:t>
      </w:r>
    </w:p>
    <w:p>
      <w:pPr>
        <w:pStyle w:val="BodyText"/>
        <w:spacing w:before="7"/>
        <w:rPr>
          <w:b/>
          <w:sz w:val="23"/>
        </w:rPr>
      </w:pPr>
    </w:p>
    <w:p>
      <w:pPr>
        <w:pStyle w:val="BodyText"/>
        <w:spacing w:before="1"/>
        <w:ind w:left="475"/>
      </w:pPr>
      <w:bookmarkStart w:name="Commentary" w:id="33"/>
      <w:bookmarkEnd w:id="33"/>
      <w:r>
        <w:rPr/>
      </w:r>
      <w:r>
        <w:rPr>
          <w:color w:val="231F20"/>
          <w:spacing w:val="-2"/>
          <w:u w:val="single" w:color="231F20"/>
        </w:rPr>
        <w:t>Commentary</w:t>
      </w:r>
    </w:p>
    <w:p>
      <w:pPr>
        <w:pStyle w:val="BodyText"/>
        <w:spacing w:before="11"/>
        <w:rPr>
          <w:sz w:val="23"/>
        </w:rPr>
      </w:pPr>
    </w:p>
    <w:p>
      <w:pPr>
        <w:pStyle w:val="BodyText"/>
        <w:ind w:left="475" w:right="732"/>
        <w:jc w:val="both"/>
      </w:pPr>
      <w:r>
        <w:rPr>
          <w:color w:val="231F20"/>
        </w:rPr>
        <w:t>This Subsection defines those meetings that</w:t>
      </w:r>
      <w:r>
        <w:rPr>
          <w:color w:val="231F20"/>
          <w:spacing w:val="40"/>
        </w:rPr>
        <w:t> </w:t>
      </w:r>
      <w:r>
        <w:rPr>
          <w:color w:val="231F20"/>
        </w:rPr>
        <w:t>are required to be open to the public, unless otherwise excepted from this requirement by the Constitution or another provision of the</w:t>
      </w:r>
      <w:r>
        <w:rPr>
          <w:color w:val="231F20"/>
          <w:spacing w:val="40"/>
        </w:rPr>
        <w:t> </w:t>
      </w:r>
      <w:r>
        <w:rPr>
          <w:color w:val="231F20"/>
        </w:rPr>
        <w:t>Act or an express and unavoidable conflict with more specific language in another law. The</w:t>
      </w:r>
      <w:r>
        <w:rPr>
          <w:color w:val="231F20"/>
          <w:spacing w:val="-2"/>
        </w:rPr>
        <w:t> </w:t>
      </w:r>
      <w:r>
        <w:rPr>
          <w:color w:val="231F20"/>
        </w:rPr>
        <w:t>provisions</w:t>
      </w:r>
      <w:r>
        <w:rPr>
          <w:color w:val="231F20"/>
          <w:spacing w:val="-1"/>
        </w:rPr>
        <w:t> </w:t>
      </w:r>
      <w:r>
        <w:rPr>
          <w:color w:val="231F20"/>
        </w:rPr>
        <w:t>of</w:t>
      </w:r>
      <w:r>
        <w:rPr>
          <w:color w:val="231F20"/>
          <w:spacing w:val="-2"/>
        </w:rPr>
        <w:t> </w:t>
      </w:r>
      <w:r>
        <w:rPr>
          <w:color w:val="231F20"/>
        </w:rPr>
        <w:t>the</w:t>
      </w:r>
      <w:r>
        <w:rPr>
          <w:color w:val="231F20"/>
          <w:spacing w:val="-2"/>
        </w:rPr>
        <w:t> </w:t>
      </w:r>
      <w:r>
        <w:rPr>
          <w:color w:val="231F20"/>
        </w:rPr>
        <w:t>Act</w:t>
      </w:r>
      <w:r>
        <w:rPr>
          <w:color w:val="231F20"/>
          <w:spacing w:val="-1"/>
        </w:rPr>
        <w:t> </w:t>
      </w:r>
      <w:r>
        <w:rPr>
          <w:color w:val="231F20"/>
        </w:rPr>
        <w:t>apply</w:t>
      </w:r>
      <w:r>
        <w:rPr>
          <w:color w:val="231F20"/>
          <w:spacing w:val="-8"/>
        </w:rPr>
        <w:t> </w:t>
      </w:r>
      <w:r>
        <w:rPr>
          <w:color w:val="231F20"/>
        </w:rPr>
        <w:t>to</w:t>
      </w:r>
      <w:r>
        <w:rPr>
          <w:color w:val="231F20"/>
          <w:spacing w:val="-1"/>
        </w:rPr>
        <w:t> </w:t>
      </w:r>
      <w:r>
        <w:rPr>
          <w:color w:val="231F20"/>
        </w:rPr>
        <w:t>any</w:t>
      </w:r>
      <w:r>
        <w:rPr>
          <w:color w:val="231F20"/>
          <w:spacing w:val="-8"/>
        </w:rPr>
        <w:t> </w:t>
      </w:r>
      <w:r>
        <w:rPr>
          <w:color w:val="231F20"/>
        </w:rPr>
        <w:t>meeting of a quorum of a policymaking public body held for the purpose of:</w:t>
      </w:r>
    </w:p>
    <w:p>
      <w:pPr>
        <w:pStyle w:val="BodyText"/>
      </w:pPr>
    </w:p>
    <w:p>
      <w:pPr>
        <w:pStyle w:val="ListParagraph"/>
        <w:numPr>
          <w:ilvl w:val="1"/>
          <w:numId w:val="6"/>
        </w:numPr>
        <w:tabs>
          <w:tab w:pos="1520" w:val="left" w:leader="none"/>
        </w:tabs>
        <w:spacing w:line="240" w:lineRule="auto" w:before="0" w:after="0"/>
        <w:ind w:left="1519" w:right="0" w:hanging="325"/>
        <w:jc w:val="left"/>
        <w:rPr>
          <w:color w:val="231F20"/>
          <w:sz w:val="24"/>
        </w:rPr>
      </w:pPr>
      <w:r>
        <w:rPr>
          <w:color w:val="231F20"/>
          <w:sz w:val="24"/>
        </w:rPr>
        <w:t>formulating</w:t>
      </w:r>
      <w:r>
        <w:rPr>
          <w:color w:val="231F20"/>
          <w:spacing w:val="-13"/>
          <w:sz w:val="24"/>
        </w:rPr>
        <w:t> </w:t>
      </w:r>
      <w:r>
        <w:rPr>
          <w:color w:val="231F20"/>
          <w:sz w:val="24"/>
        </w:rPr>
        <w:t>public</w:t>
      </w:r>
      <w:r>
        <w:rPr>
          <w:color w:val="231F20"/>
          <w:spacing w:val="-11"/>
          <w:sz w:val="24"/>
        </w:rPr>
        <w:t> </w:t>
      </w:r>
      <w:r>
        <w:rPr>
          <w:color w:val="231F20"/>
          <w:spacing w:val="-2"/>
          <w:sz w:val="24"/>
        </w:rPr>
        <w:t>policy;</w:t>
      </w:r>
    </w:p>
    <w:p>
      <w:pPr>
        <w:pStyle w:val="BodyText"/>
        <w:spacing w:before="9"/>
        <w:rPr>
          <w:sz w:val="23"/>
        </w:rPr>
      </w:pPr>
    </w:p>
    <w:p>
      <w:pPr>
        <w:pStyle w:val="ListParagraph"/>
        <w:numPr>
          <w:ilvl w:val="1"/>
          <w:numId w:val="6"/>
        </w:numPr>
        <w:tabs>
          <w:tab w:pos="1534" w:val="left" w:leader="none"/>
        </w:tabs>
        <w:spacing w:line="240" w:lineRule="auto" w:before="0" w:after="0"/>
        <w:ind w:left="1533" w:right="0" w:hanging="339"/>
        <w:jc w:val="left"/>
        <w:rPr>
          <w:color w:val="231F20"/>
          <w:sz w:val="24"/>
        </w:rPr>
      </w:pPr>
      <w:r>
        <w:rPr>
          <w:color w:val="231F20"/>
          <w:sz w:val="24"/>
        </w:rPr>
        <w:t>discussing</w:t>
      </w:r>
      <w:r>
        <w:rPr>
          <w:color w:val="231F20"/>
          <w:spacing w:val="-7"/>
          <w:sz w:val="24"/>
        </w:rPr>
        <w:t> </w:t>
      </w:r>
      <w:r>
        <w:rPr>
          <w:color w:val="231F20"/>
          <w:sz w:val="24"/>
        </w:rPr>
        <w:t>public</w:t>
      </w:r>
      <w:r>
        <w:rPr>
          <w:color w:val="231F20"/>
          <w:spacing w:val="-5"/>
          <w:sz w:val="24"/>
        </w:rPr>
        <w:t> </w:t>
      </w:r>
      <w:r>
        <w:rPr>
          <w:color w:val="231F20"/>
          <w:sz w:val="24"/>
        </w:rPr>
        <w:t>business;</w:t>
      </w:r>
      <w:r>
        <w:rPr>
          <w:color w:val="231F20"/>
          <w:spacing w:val="-4"/>
          <w:sz w:val="24"/>
        </w:rPr>
        <w:t> </w:t>
      </w:r>
      <w:r>
        <w:rPr>
          <w:color w:val="231F20"/>
          <w:spacing w:val="-5"/>
          <w:sz w:val="24"/>
        </w:rPr>
        <w:t>or</w:t>
      </w:r>
    </w:p>
    <w:p>
      <w:pPr>
        <w:pStyle w:val="BodyText"/>
      </w:pPr>
    </w:p>
    <w:p>
      <w:pPr>
        <w:pStyle w:val="ListParagraph"/>
        <w:numPr>
          <w:ilvl w:val="1"/>
          <w:numId w:val="6"/>
        </w:numPr>
        <w:tabs>
          <w:tab w:pos="1541" w:val="left" w:leader="none"/>
        </w:tabs>
        <w:spacing w:line="240" w:lineRule="auto" w:before="1" w:after="0"/>
        <w:ind w:left="1195" w:right="740" w:firstLine="0"/>
        <w:jc w:val="left"/>
        <w:rPr>
          <w:color w:val="231F20"/>
          <w:sz w:val="24"/>
        </w:rPr>
      </w:pPr>
      <w:r>
        <w:rPr>
          <w:color w:val="231F20"/>
          <w:sz w:val="24"/>
        </w:rPr>
        <w:t>taking any action that the body has authority to take.</w:t>
      </w:r>
    </w:p>
    <w:p>
      <w:pPr>
        <w:pStyle w:val="BodyText"/>
        <w:spacing w:before="11"/>
        <w:rPr>
          <w:sz w:val="23"/>
        </w:rPr>
      </w:pPr>
    </w:p>
    <w:p>
      <w:pPr>
        <w:pStyle w:val="ListParagraph"/>
        <w:numPr>
          <w:ilvl w:val="0"/>
          <w:numId w:val="7"/>
        </w:numPr>
        <w:tabs>
          <w:tab w:pos="1195" w:val="left" w:leader="none"/>
          <w:tab w:pos="1196" w:val="left" w:leader="none"/>
        </w:tabs>
        <w:spacing w:line="240" w:lineRule="auto" w:before="0" w:after="0"/>
        <w:ind w:left="1195" w:right="0" w:hanging="721"/>
        <w:jc w:val="left"/>
        <w:rPr>
          <w:color w:val="231F20"/>
          <w:sz w:val="24"/>
        </w:rPr>
      </w:pPr>
      <w:bookmarkStart w:name="1. Rolling Quorums" w:id="34"/>
      <w:bookmarkEnd w:id="34"/>
      <w:r>
        <w:rPr>
          <w:color w:val="231F20"/>
          <w:sz w:val="24"/>
          <w:u w:val="single" w:color="231F20"/>
        </w:rPr>
        <w:t>R</w:t>
      </w:r>
      <w:r>
        <w:rPr>
          <w:color w:val="231F20"/>
          <w:sz w:val="24"/>
          <w:u w:val="single" w:color="231F20"/>
        </w:rPr>
        <w:t>olling</w:t>
      </w:r>
      <w:r>
        <w:rPr>
          <w:color w:val="231F20"/>
          <w:spacing w:val="-3"/>
          <w:sz w:val="24"/>
          <w:u w:val="single" w:color="231F20"/>
        </w:rPr>
        <w:t> </w:t>
      </w:r>
      <w:r>
        <w:rPr>
          <w:color w:val="231F20"/>
          <w:spacing w:val="-2"/>
          <w:sz w:val="24"/>
          <w:u w:val="single" w:color="231F20"/>
        </w:rPr>
        <w:t>Quorums</w:t>
      </w:r>
    </w:p>
    <w:p>
      <w:pPr>
        <w:pStyle w:val="BodyText"/>
      </w:pPr>
    </w:p>
    <w:p>
      <w:pPr>
        <w:pStyle w:val="BodyText"/>
        <w:ind w:left="475" w:right="736"/>
        <w:jc w:val="both"/>
      </w:pPr>
      <w:r>
        <w:rPr>
          <w:color w:val="231F20"/>
        </w:rPr>
        <w:t>The Act’s requirement for open, public meetings applies to any discussion of public business among a quorum of a public body’s members. Usually, a quorum of a public</w:t>
      </w:r>
      <w:r>
        <w:rPr>
          <w:color w:val="231F20"/>
          <w:spacing w:val="40"/>
        </w:rPr>
        <w:t> </w:t>
      </w:r>
      <w:r>
        <w:rPr>
          <w:color w:val="231F20"/>
        </w:rPr>
        <w:t>body’s members meets together to discuss public</w:t>
      </w:r>
      <w:r>
        <w:rPr>
          <w:color w:val="231F20"/>
          <w:spacing w:val="75"/>
        </w:rPr>
        <w:t> </w:t>
      </w:r>
      <w:r>
        <w:rPr>
          <w:color w:val="231F20"/>
        </w:rPr>
        <w:t>business</w:t>
      </w:r>
      <w:r>
        <w:rPr>
          <w:color w:val="231F20"/>
          <w:spacing w:val="76"/>
        </w:rPr>
        <w:t> </w:t>
      </w:r>
      <w:r>
        <w:rPr>
          <w:color w:val="231F20"/>
        </w:rPr>
        <w:t>or</w:t>
      </w:r>
      <w:r>
        <w:rPr>
          <w:color w:val="231F20"/>
          <w:spacing w:val="75"/>
        </w:rPr>
        <w:t> </w:t>
      </w:r>
      <w:r>
        <w:rPr>
          <w:color w:val="231F20"/>
        </w:rPr>
        <w:t>take</w:t>
      </w:r>
      <w:r>
        <w:rPr>
          <w:color w:val="231F20"/>
          <w:spacing w:val="77"/>
        </w:rPr>
        <w:t> </w:t>
      </w:r>
      <w:r>
        <w:rPr>
          <w:color w:val="231F20"/>
        </w:rPr>
        <w:t>action.</w:t>
      </w:r>
      <w:r>
        <w:rPr>
          <w:color w:val="231F20"/>
          <w:spacing w:val="76"/>
        </w:rPr>
        <w:t> </w:t>
      </w:r>
      <w:r>
        <w:rPr>
          <w:color w:val="231F20"/>
        </w:rPr>
        <w:t>However,</w:t>
      </w:r>
      <w:r>
        <w:rPr>
          <w:color w:val="231F20"/>
          <w:spacing w:val="79"/>
        </w:rPr>
        <w:t> </w:t>
      </w:r>
      <w:r>
        <w:rPr>
          <w:color w:val="231F20"/>
          <w:spacing w:val="-10"/>
        </w:rPr>
        <w:t>a</w:t>
      </w:r>
    </w:p>
    <w:p>
      <w:pPr>
        <w:spacing w:after="0"/>
        <w:jc w:val="both"/>
        <w:sectPr>
          <w:type w:val="continuous"/>
          <w:pgSz w:w="12240" w:h="15840"/>
          <w:pgMar w:header="660" w:footer="484" w:top="480" w:bottom="280" w:left="360" w:right="240"/>
          <w:cols w:num="2" w:equalWidth="0">
            <w:col w:w="5062" w:space="820"/>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9"/>
        <w:jc w:val="both"/>
      </w:pPr>
      <w:r>
        <w:rPr>
          <w:color w:val="231F20"/>
        </w:rPr>
        <w:t>quorum</w:t>
      </w:r>
      <w:r>
        <w:rPr>
          <w:color w:val="231F20"/>
          <w:spacing w:val="-1"/>
        </w:rPr>
        <w:t> </w:t>
      </w:r>
      <w:r>
        <w:rPr>
          <w:color w:val="231F20"/>
        </w:rPr>
        <w:t>may</w:t>
      </w:r>
      <w:r>
        <w:rPr>
          <w:color w:val="231F20"/>
          <w:spacing w:val="-6"/>
        </w:rPr>
        <w:t> </w:t>
      </w:r>
      <w:r>
        <w:rPr>
          <w:color w:val="231F20"/>
        </w:rPr>
        <w:t>exist</w:t>
      </w:r>
      <w:r>
        <w:rPr>
          <w:color w:val="231F20"/>
          <w:spacing w:val="-1"/>
        </w:rPr>
        <w:t> </w:t>
      </w:r>
      <w:r>
        <w:rPr>
          <w:color w:val="231F20"/>
        </w:rPr>
        <w:t>for</w:t>
      </w:r>
      <w:r>
        <w:rPr>
          <w:color w:val="231F20"/>
          <w:spacing w:val="-2"/>
        </w:rPr>
        <w:t> </w:t>
      </w:r>
      <w:r>
        <w:rPr>
          <w:color w:val="231F20"/>
        </w:rPr>
        <w:t>purposes</w:t>
      </w:r>
      <w:r>
        <w:rPr>
          <w:color w:val="231F20"/>
          <w:spacing w:val="-1"/>
        </w:rPr>
        <w:t> </w:t>
      </w:r>
      <w:r>
        <w:rPr>
          <w:color w:val="231F20"/>
        </w:rPr>
        <w:t>of</w:t>
      </w:r>
      <w:r>
        <w:rPr>
          <w:color w:val="231F20"/>
          <w:spacing w:val="-2"/>
        </w:rPr>
        <w:t> </w:t>
      </w:r>
      <w:r>
        <w:rPr>
          <w:color w:val="231F20"/>
        </w:rPr>
        <w:t>the</w:t>
      </w:r>
      <w:r>
        <w:rPr>
          <w:color w:val="231F20"/>
          <w:spacing w:val="-2"/>
        </w:rPr>
        <w:t> </w:t>
      </w:r>
      <w:r>
        <w:rPr>
          <w:color w:val="231F20"/>
        </w:rPr>
        <w:t>Act even when the members are not physically present together at the same time and place. For example, if three members of a five member board discuss public business in a series of telephone or email conversations, the discussion is a meeting of a quorum. This is sometimes referred to as a “rolling” or “walking” quorum. The use of a rolling quorum to discuss public business or take action violates the Act because it constitutes a meeting of a quorum of the public body’s members outside of a properly noticed, public </w:t>
      </w:r>
      <w:r>
        <w:rPr>
          <w:color w:val="231F20"/>
          <w:spacing w:val="-2"/>
        </w:rPr>
        <w:t>meeting.</w:t>
      </w:r>
    </w:p>
    <w:p>
      <w:pPr>
        <w:pStyle w:val="BodyText"/>
      </w:pPr>
    </w:p>
    <w:p>
      <w:pPr>
        <w:spacing w:before="0"/>
        <w:ind w:left="475" w:right="0" w:firstLine="0"/>
        <w:jc w:val="both"/>
        <w:rPr>
          <w:i/>
          <w:sz w:val="24"/>
        </w:rPr>
      </w:pPr>
      <w:bookmarkStart w:name="Example 4:" w:id="35"/>
      <w:bookmarkEnd w:id="3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w:t>
      </w:r>
    </w:p>
    <w:p>
      <w:pPr>
        <w:pStyle w:val="BodyText"/>
        <w:rPr>
          <w:i/>
        </w:rPr>
      </w:pPr>
    </w:p>
    <w:p>
      <w:pPr>
        <w:spacing w:before="0"/>
        <w:ind w:left="475" w:right="38" w:firstLine="0"/>
        <w:jc w:val="both"/>
        <w:rPr>
          <w:i/>
          <w:sz w:val="24"/>
        </w:rPr>
      </w:pPr>
      <w:r>
        <w:rPr>
          <w:i/>
          <w:color w:val="231F20"/>
          <w:sz w:val="24"/>
        </w:rPr>
        <w:t>Mr. Green and Ms. Thomas, two members of</w:t>
      </w:r>
      <w:r>
        <w:rPr>
          <w:i/>
          <w:color w:val="231F20"/>
          <w:sz w:val="24"/>
        </w:rPr>
        <w:t> the</w:t>
      </w:r>
      <w:r>
        <w:rPr>
          <w:i/>
          <w:color w:val="231F20"/>
          <w:spacing w:val="-2"/>
          <w:sz w:val="24"/>
        </w:rPr>
        <w:t> </w:t>
      </w:r>
      <w:r>
        <w:rPr>
          <w:i/>
          <w:color w:val="231F20"/>
          <w:sz w:val="24"/>
        </w:rPr>
        <w:t>five-member</w:t>
      </w:r>
      <w:r>
        <w:rPr>
          <w:i/>
          <w:color w:val="231F20"/>
          <w:spacing w:val="-1"/>
          <w:sz w:val="24"/>
        </w:rPr>
        <w:t> </w:t>
      </w:r>
      <w:r>
        <w:rPr>
          <w:i/>
          <w:color w:val="231F20"/>
          <w:sz w:val="24"/>
        </w:rPr>
        <w:t>board</w:t>
      </w:r>
      <w:r>
        <w:rPr>
          <w:i/>
          <w:color w:val="231F20"/>
          <w:spacing w:val="-1"/>
          <w:sz w:val="24"/>
        </w:rPr>
        <w:t> </w:t>
      </w:r>
      <w:r>
        <w:rPr>
          <w:i/>
          <w:color w:val="231F20"/>
          <w:sz w:val="24"/>
        </w:rPr>
        <w:t>of</w:t>
      </w:r>
      <w:r>
        <w:rPr>
          <w:i/>
          <w:color w:val="231F20"/>
          <w:spacing w:val="-1"/>
          <w:sz w:val="24"/>
        </w:rPr>
        <w:t> </w:t>
      </w:r>
      <w:r>
        <w:rPr>
          <w:i/>
          <w:color w:val="231F20"/>
          <w:sz w:val="24"/>
        </w:rPr>
        <w:t>directors</w:t>
      </w:r>
      <w:r>
        <w:rPr>
          <w:i/>
          <w:color w:val="231F20"/>
          <w:spacing w:val="-1"/>
          <w:sz w:val="24"/>
        </w:rPr>
        <w:t> </w:t>
      </w:r>
      <w:r>
        <w:rPr>
          <w:i/>
          <w:color w:val="231F20"/>
          <w:sz w:val="24"/>
        </w:rPr>
        <w:t>for</w:t>
      </w:r>
      <w:r>
        <w:rPr>
          <w:i/>
          <w:color w:val="231F20"/>
          <w:spacing w:val="-1"/>
          <w:sz w:val="24"/>
        </w:rPr>
        <w:t> </w:t>
      </w:r>
      <w:r>
        <w:rPr>
          <w:i/>
          <w:color w:val="231F20"/>
          <w:sz w:val="24"/>
        </w:rPr>
        <w:t>the</w:t>
      </w:r>
      <w:r>
        <w:rPr>
          <w:i/>
          <w:color w:val="231F20"/>
          <w:spacing w:val="-2"/>
          <w:sz w:val="24"/>
        </w:rPr>
        <w:t> </w:t>
      </w:r>
      <w:r>
        <w:rPr>
          <w:i/>
          <w:color w:val="231F20"/>
          <w:sz w:val="24"/>
        </w:rPr>
        <w:t>ZZZ Domestic Mutual Water Users Association (a public body established under the Sanitary Projects Act), have a telephone conversation during</w:t>
      </w:r>
      <w:r>
        <w:rPr>
          <w:i/>
          <w:color w:val="231F20"/>
          <w:spacing w:val="-5"/>
          <w:sz w:val="24"/>
        </w:rPr>
        <w:t> </w:t>
      </w:r>
      <w:r>
        <w:rPr>
          <w:i/>
          <w:color w:val="231F20"/>
          <w:sz w:val="24"/>
        </w:rPr>
        <w:t>which</w:t>
      </w:r>
      <w:r>
        <w:rPr>
          <w:i/>
          <w:color w:val="231F20"/>
          <w:spacing w:val="-5"/>
          <w:sz w:val="24"/>
        </w:rPr>
        <w:t> </w:t>
      </w:r>
      <w:r>
        <w:rPr>
          <w:i/>
          <w:color w:val="231F20"/>
          <w:sz w:val="24"/>
        </w:rPr>
        <w:t>they</w:t>
      </w:r>
      <w:r>
        <w:rPr>
          <w:i/>
          <w:color w:val="231F20"/>
          <w:spacing w:val="-6"/>
          <w:sz w:val="24"/>
        </w:rPr>
        <w:t> </w:t>
      </w:r>
      <w:r>
        <w:rPr>
          <w:i/>
          <w:color w:val="231F20"/>
          <w:sz w:val="24"/>
        </w:rPr>
        <w:t>decide</w:t>
      </w:r>
      <w:r>
        <w:rPr>
          <w:i/>
          <w:color w:val="231F20"/>
          <w:spacing w:val="-4"/>
          <w:sz w:val="24"/>
        </w:rPr>
        <w:t> </w:t>
      </w:r>
      <w:r>
        <w:rPr>
          <w:i/>
          <w:color w:val="231F20"/>
          <w:sz w:val="24"/>
        </w:rPr>
        <w:t>that</w:t>
      </w:r>
      <w:r>
        <w:rPr>
          <w:i/>
          <w:color w:val="231F20"/>
          <w:spacing w:val="-5"/>
          <w:sz w:val="24"/>
        </w:rPr>
        <w:t> </w:t>
      </w:r>
      <w:r>
        <w:rPr>
          <w:i/>
          <w:color w:val="231F20"/>
          <w:sz w:val="24"/>
        </w:rPr>
        <w:t>the</w:t>
      </w:r>
      <w:r>
        <w:rPr>
          <w:i/>
          <w:color w:val="231F20"/>
          <w:spacing w:val="-6"/>
          <w:sz w:val="24"/>
        </w:rPr>
        <w:t> </w:t>
      </w:r>
      <w:r>
        <w:rPr>
          <w:i/>
          <w:color w:val="231F20"/>
          <w:sz w:val="24"/>
        </w:rPr>
        <w:t>board</w:t>
      </w:r>
      <w:r>
        <w:rPr>
          <w:i/>
          <w:color w:val="231F20"/>
          <w:spacing w:val="-5"/>
          <w:sz w:val="24"/>
        </w:rPr>
        <w:t> </w:t>
      </w:r>
      <w:r>
        <w:rPr>
          <w:i/>
          <w:color w:val="231F20"/>
          <w:sz w:val="24"/>
        </w:rPr>
        <w:t>should discharge the Association’s executive director. Mr. Green writes a letter to the director terminating her employment, signs the letter and passes it on to Ms. Thomas. Ms. Thomas signs the letter and delivers it to a third board member, who signs it and delivers it to a</w:t>
      </w:r>
      <w:r>
        <w:rPr>
          <w:i/>
          <w:color w:val="231F20"/>
          <w:spacing w:val="80"/>
          <w:sz w:val="24"/>
        </w:rPr>
        <w:t> </w:t>
      </w:r>
      <w:r>
        <w:rPr>
          <w:i/>
          <w:color w:val="231F20"/>
          <w:sz w:val="24"/>
        </w:rPr>
        <w:t>fourth board member for his signature. The fifth board member does not participate in the termination action.</w:t>
      </w:r>
    </w:p>
    <w:p>
      <w:pPr>
        <w:pStyle w:val="BodyText"/>
        <w:rPr>
          <w:i/>
        </w:rPr>
      </w:pPr>
    </w:p>
    <w:p>
      <w:pPr>
        <w:spacing w:line="240" w:lineRule="auto" w:before="0"/>
        <w:ind w:left="475" w:right="38" w:firstLine="0"/>
        <w:jc w:val="both"/>
        <w:rPr>
          <w:i/>
          <w:sz w:val="24"/>
        </w:rPr>
      </w:pPr>
      <w:r>
        <w:rPr>
          <w:i/>
          <w:color w:val="231F20"/>
          <w:sz w:val="24"/>
        </w:rPr>
        <w:t>The board’s action violates the Act. The letter</w:t>
      </w:r>
      <w:r>
        <w:rPr>
          <w:i/>
          <w:color w:val="231F20"/>
          <w:sz w:val="24"/>
        </w:rPr>
        <w:t> discharging the executive director and </w:t>
      </w:r>
      <w:r>
        <w:rPr>
          <w:i/>
          <w:color w:val="231F20"/>
          <w:sz w:val="24"/>
        </w:rPr>
        <w:t>signed by four of the board members amounts to action by a quorum of the board outside of a properly noticed and conducted public meeting.</w:t>
      </w:r>
      <w:r>
        <w:rPr>
          <w:i/>
          <w:color w:val="231F20"/>
          <w:spacing w:val="-3"/>
          <w:sz w:val="24"/>
        </w:rPr>
        <w:t> </w:t>
      </w:r>
      <w:r>
        <w:rPr>
          <w:i/>
          <w:color w:val="231F20"/>
          <w:sz w:val="24"/>
        </w:rPr>
        <w:t>It makes</w:t>
      </w:r>
      <w:r>
        <w:rPr>
          <w:i/>
          <w:color w:val="231F20"/>
          <w:spacing w:val="-3"/>
          <w:sz w:val="24"/>
        </w:rPr>
        <w:t> </w:t>
      </w:r>
      <w:r>
        <w:rPr>
          <w:i/>
          <w:color w:val="231F20"/>
          <w:sz w:val="24"/>
        </w:rPr>
        <w:t>no</w:t>
      </w:r>
      <w:r>
        <w:rPr>
          <w:i/>
          <w:color w:val="231F20"/>
          <w:spacing w:val="-3"/>
          <w:sz w:val="24"/>
        </w:rPr>
        <w:t> </w:t>
      </w:r>
      <w:r>
        <w:rPr>
          <w:i/>
          <w:color w:val="231F20"/>
          <w:sz w:val="24"/>
        </w:rPr>
        <w:t>difference</w:t>
      </w:r>
      <w:r>
        <w:rPr>
          <w:i/>
          <w:color w:val="231F20"/>
          <w:spacing w:val="-2"/>
          <w:sz w:val="24"/>
        </w:rPr>
        <w:t> </w:t>
      </w:r>
      <w:r>
        <w:rPr>
          <w:i/>
          <w:color w:val="231F20"/>
          <w:sz w:val="24"/>
        </w:rPr>
        <w:t>for</w:t>
      </w:r>
      <w:r>
        <w:rPr>
          <w:i/>
          <w:color w:val="231F20"/>
          <w:spacing w:val="-3"/>
          <w:sz w:val="24"/>
        </w:rPr>
        <w:t> </w:t>
      </w:r>
      <w:r>
        <w:rPr>
          <w:i/>
          <w:color w:val="231F20"/>
          <w:sz w:val="24"/>
        </w:rPr>
        <w:t>purposes of the</w:t>
      </w:r>
      <w:r>
        <w:rPr>
          <w:i/>
          <w:color w:val="231F20"/>
          <w:spacing w:val="-5"/>
          <w:sz w:val="24"/>
        </w:rPr>
        <w:t> </w:t>
      </w:r>
      <w:r>
        <w:rPr>
          <w:i/>
          <w:color w:val="231F20"/>
          <w:sz w:val="24"/>
        </w:rPr>
        <w:t>Act</w:t>
      </w:r>
      <w:r>
        <w:rPr>
          <w:i/>
          <w:color w:val="231F20"/>
          <w:spacing w:val="-4"/>
          <w:sz w:val="24"/>
        </w:rPr>
        <w:t> </w:t>
      </w:r>
      <w:r>
        <w:rPr>
          <w:i/>
          <w:color w:val="231F20"/>
          <w:sz w:val="24"/>
        </w:rPr>
        <w:t>that</w:t>
      </w:r>
      <w:r>
        <w:rPr>
          <w:i/>
          <w:color w:val="231F20"/>
          <w:spacing w:val="-4"/>
          <w:sz w:val="24"/>
        </w:rPr>
        <w:t> </w:t>
      </w:r>
      <w:r>
        <w:rPr>
          <w:i/>
          <w:color w:val="231F20"/>
          <w:sz w:val="24"/>
        </w:rPr>
        <w:t>the</w:t>
      </w:r>
      <w:r>
        <w:rPr>
          <w:i/>
          <w:color w:val="231F20"/>
          <w:spacing w:val="-5"/>
          <w:sz w:val="24"/>
        </w:rPr>
        <w:t> </w:t>
      </w:r>
      <w:r>
        <w:rPr>
          <w:i/>
          <w:color w:val="231F20"/>
          <w:sz w:val="24"/>
        </w:rPr>
        <w:t>four</w:t>
      </w:r>
      <w:r>
        <w:rPr>
          <w:i/>
          <w:color w:val="231F20"/>
          <w:spacing w:val="-4"/>
          <w:sz w:val="24"/>
        </w:rPr>
        <w:t> </w:t>
      </w:r>
      <w:r>
        <w:rPr>
          <w:i/>
          <w:color w:val="231F20"/>
          <w:sz w:val="24"/>
        </w:rPr>
        <w:t>members</w:t>
      </w:r>
      <w:r>
        <w:rPr>
          <w:i/>
          <w:color w:val="231F20"/>
          <w:spacing w:val="-4"/>
          <w:sz w:val="24"/>
        </w:rPr>
        <w:t> </w:t>
      </w:r>
      <w:r>
        <w:rPr>
          <w:i/>
          <w:color w:val="231F20"/>
          <w:sz w:val="24"/>
        </w:rPr>
        <w:t>who</w:t>
      </w:r>
      <w:r>
        <w:rPr>
          <w:i/>
          <w:color w:val="231F20"/>
          <w:spacing w:val="-4"/>
          <w:sz w:val="24"/>
        </w:rPr>
        <w:t> </w:t>
      </w:r>
      <w:r>
        <w:rPr>
          <w:i/>
          <w:color w:val="231F20"/>
          <w:sz w:val="24"/>
        </w:rPr>
        <w:t>made</w:t>
      </w:r>
      <w:r>
        <w:rPr>
          <w:i/>
          <w:color w:val="231F20"/>
          <w:spacing w:val="-5"/>
          <w:sz w:val="24"/>
        </w:rPr>
        <w:t> </w:t>
      </w:r>
      <w:r>
        <w:rPr>
          <w:i/>
          <w:color w:val="231F20"/>
          <w:sz w:val="24"/>
        </w:rPr>
        <w:t>up</w:t>
      </w:r>
      <w:r>
        <w:rPr>
          <w:i/>
          <w:color w:val="231F20"/>
          <w:spacing w:val="-4"/>
          <w:sz w:val="24"/>
        </w:rPr>
        <w:t> </w:t>
      </w:r>
      <w:r>
        <w:rPr>
          <w:i/>
          <w:color w:val="231F20"/>
          <w:sz w:val="24"/>
        </w:rPr>
        <w:t>the quorum were not together in the same place when they discussed and signed the letter.</w:t>
      </w:r>
    </w:p>
    <w:p>
      <w:pPr>
        <w:pStyle w:val="BodyText"/>
        <w:spacing w:before="9"/>
        <w:rPr>
          <w:i/>
          <w:sz w:val="23"/>
        </w:rPr>
      </w:pPr>
    </w:p>
    <w:p>
      <w:pPr>
        <w:spacing w:before="1"/>
        <w:ind w:left="475" w:right="0" w:firstLine="0"/>
        <w:jc w:val="both"/>
        <w:rPr>
          <w:i/>
          <w:sz w:val="24"/>
        </w:rPr>
      </w:pPr>
      <w:bookmarkStart w:name="Example 5:" w:id="36"/>
      <w:bookmarkEnd w:id="3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w:t>
      </w:r>
    </w:p>
    <w:p>
      <w:pPr>
        <w:pStyle w:val="BodyText"/>
        <w:rPr>
          <w:i/>
        </w:rPr>
      </w:pPr>
    </w:p>
    <w:p>
      <w:pPr>
        <w:spacing w:before="0"/>
        <w:ind w:left="475" w:right="38" w:firstLine="0"/>
        <w:jc w:val="both"/>
        <w:rPr>
          <w:i/>
          <w:sz w:val="24"/>
        </w:rPr>
      </w:pPr>
      <w:r>
        <w:rPr>
          <w:i/>
          <w:color w:val="231F20"/>
          <w:sz w:val="24"/>
        </w:rPr>
        <w:t>Mr. Jones and Mr. Smith both serve on a</w:t>
      </w:r>
      <w:r>
        <w:rPr>
          <w:i/>
          <w:color w:val="231F20"/>
          <w:spacing w:val="40"/>
          <w:sz w:val="24"/>
        </w:rPr>
        <w:t> </w:t>
      </w:r>
      <w:r>
        <w:rPr>
          <w:i/>
          <w:color w:val="231F20"/>
          <w:sz w:val="24"/>
        </w:rPr>
        <w:t>board of county commissioners and constitute a quorum of that board. Jones and Smith are also</w:t>
      </w:r>
      <w:r>
        <w:rPr>
          <w:i/>
          <w:color w:val="231F20"/>
          <w:spacing w:val="36"/>
          <w:sz w:val="24"/>
        </w:rPr>
        <w:t> </w:t>
      </w:r>
      <w:r>
        <w:rPr>
          <w:i/>
          <w:color w:val="231F20"/>
          <w:sz w:val="24"/>
        </w:rPr>
        <w:t>in</w:t>
      </w:r>
      <w:r>
        <w:rPr>
          <w:i/>
          <w:color w:val="231F20"/>
          <w:spacing w:val="36"/>
          <w:sz w:val="24"/>
        </w:rPr>
        <w:t> </w:t>
      </w:r>
      <w:r>
        <w:rPr>
          <w:i/>
          <w:color w:val="231F20"/>
          <w:sz w:val="24"/>
        </w:rPr>
        <w:t>the</w:t>
      </w:r>
      <w:r>
        <w:rPr>
          <w:i/>
          <w:color w:val="231F20"/>
          <w:spacing w:val="35"/>
          <w:sz w:val="24"/>
        </w:rPr>
        <w:t> </w:t>
      </w:r>
      <w:r>
        <w:rPr>
          <w:i/>
          <w:color w:val="231F20"/>
          <w:sz w:val="24"/>
        </w:rPr>
        <w:t>same</w:t>
      </w:r>
      <w:r>
        <w:rPr>
          <w:i/>
          <w:color w:val="231F20"/>
          <w:spacing w:val="35"/>
          <w:sz w:val="24"/>
        </w:rPr>
        <w:t> </w:t>
      </w:r>
      <w:r>
        <w:rPr>
          <w:i/>
          <w:color w:val="231F20"/>
          <w:sz w:val="24"/>
        </w:rPr>
        <w:t>business</w:t>
      </w:r>
      <w:r>
        <w:rPr>
          <w:i/>
          <w:color w:val="231F20"/>
          <w:spacing w:val="36"/>
          <w:sz w:val="24"/>
        </w:rPr>
        <w:t> </w:t>
      </w:r>
      <w:r>
        <w:rPr>
          <w:i/>
          <w:color w:val="231F20"/>
          <w:sz w:val="24"/>
        </w:rPr>
        <w:t>and</w:t>
      </w:r>
      <w:r>
        <w:rPr>
          <w:i/>
          <w:color w:val="231F20"/>
          <w:spacing w:val="36"/>
          <w:sz w:val="24"/>
        </w:rPr>
        <w:t> </w:t>
      </w:r>
      <w:r>
        <w:rPr>
          <w:i/>
          <w:color w:val="231F20"/>
          <w:sz w:val="24"/>
        </w:rPr>
        <w:t>frequently</w:t>
      </w:r>
      <w:r>
        <w:rPr>
          <w:i/>
          <w:color w:val="231F20"/>
          <w:spacing w:val="36"/>
          <w:sz w:val="24"/>
        </w:rPr>
        <w:t> </w:t>
      </w:r>
      <w:r>
        <w:rPr>
          <w:i/>
          <w:color w:val="231F20"/>
          <w:spacing w:val="-5"/>
          <w:sz w:val="24"/>
        </w:rPr>
        <w:t>run</w:t>
      </w:r>
    </w:p>
    <w:p>
      <w:pPr>
        <w:spacing w:before="90"/>
        <w:ind w:left="475" w:right="736" w:firstLine="0"/>
        <w:jc w:val="both"/>
        <w:rPr>
          <w:i/>
          <w:sz w:val="24"/>
        </w:rPr>
      </w:pPr>
      <w:r>
        <w:rPr/>
        <w:br w:type="column"/>
      </w:r>
      <w:r>
        <w:rPr>
          <w:i/>
          <w:color w:val="231F20"/>
          <w:sz w:val="24"/>
        </w:rPr>
        <w:t>into</w:t>
      </w:r>
      <w:r>
        <w:rPr>
          <w:i/>
          <w:color w:val="231F20"/>
          <w:spacing w:val="-2"/>
          <w:sz w:val="24"/>
        </w:rPr>
        <w:t> </w:t>
      </w:r>
      <w:r>
        <w:rPr>
          <w:i/>
          <w:color w:val="231F20"/>
          <w:sz w:val="24"/>
        </w:rPr>
        <w:t>each</w:t>
      </w:r>
      <w:r>
        <w:rPr>
          <w:i/>
          <w:color w:val="231F20"/>
          <w:spacing w:val="-2"/>
          <w:sz w:val="24"/>
        </w:rPr>
        <w:t> </w:t>
      </w:r>
      <w:r>
        <w:rPr>
          <w:i/>
          <w:color w:val="231F20"/>
          <w:sz w:val="24"/>
        </w:rPr>
        <w:t>other</w:t>
      </w:r>
      <w:r>
        <w:rPr>
          <w:i/>
          <w:color w:val="231F20"/>
          <w:spacing w:val="-2"/>
          <w:sz w:val="24"/>
        </w:rPr>
        <w:t> </w:t>
      </w:r>
      <w:r>
        <w:rPr>
          <w:i/>
          <w:color w:val="231F20"/>
          <w:sz w:val="24"/>
        </w:rPr>
        <w:t>in</w:t>
      </w:r>
      <w:r>
        <w:rPr>
          <w:i/>
          <w:color w:val="231F20"/>
          <w:spacing w:val="-2"/>
          <w:sz w:val="24"/>
        </w:rPr>
        <w:t> </w:t>
      </w:r>
      <w:r>
        <w:rPr>
          <w:i/>
          <w:color w:val="231F20"/>
          <w:sz w:val="24"/>
        </w:rPr>
        <w:t>the</w:t>
      </w:r>
      <w:r>
        <w:rPr>
          <w:i/>
          <w:color w:val="231F20"/>
          <w:spacing w:val="-3"/>
          <w:sz w:val="24"/>
        </w:rPr>
        <w:t> </w:t>
      </w:r>
      <w:r>
        <w:rPr>
          <w:i/>
          <w:color w:val="231F20"/>
          <w:sz w:val="24"/>
        </w:rPr>
        <w:t>course</w:t>
      </w:r>
      <w:r>
        <w:rPr>
          <w:i/>
          <w:color w:val="231F20"/>
          <w:spacing w:val="-3"/>
          <w:sz w:val="24"/>
        </w:rPr>
        <w:t> </w:t>
      </w:r>
      <w:r>
        <w:rPr>
          <w:i/>
          <w:color w:val="231F20"/>
          <w:sz w:val="24"/>
        </w:rPr>
        <w:t>of</w:t>
      </w:r>
      <w:r>
        <w:rPr>
          <w:i/>
          <w:color w:val="231F20"/>
          <w:spacing w:val="-2"/>
          <w:sz w:val="24"/>
        </w:rPr>
        <w:t> </w:t>
      </w:r>
      <w:r>
        <w:rPr>
          <w:i/>
          <w:color w:val="231F20"/>
          <w:sz w:val="24"/>
        </w:rPr>
        <w:t>a</w:t>
      </w:r>
      <w:r>
        <w:rPr>
          <w:i/>
          <w:color w:val="231F20"/>
          <w:spacing w:val="-2"/>
          <w:sz w:val="24"/>
        </w:rPr>
        <w:t> </w:t>
      </w:r>
      <w:r>
        <w:rPr>
          <w:i/>
          <w:color w:val="231F20"/>
          <w:sz w:val="24"/>
        </w:rPr>
        <w:t>business</w:t>
      </w:r>
      <w:r>
        <w:rPr>
          <w:i/>
          <w:color w:val="231F20"/>
          <w:spacing w:val="-2"/>
          <w:sz w:val="24"/>
        </w:rPr>
        <w:t> </w:t>
      </w:r>
      <w:r>
        <w:rPr>
          <w:i/>
          <w:color w:val="231F20"/>
          <w:sz w:val="24"/>
        </w:rPr>
        <w:t>day.</w:t>
      </w:r>
      <w:r>
        <w:rPr>
          <w:i/>
          <w:color w:val="231F20"/>
          <w:sz w:val="24"/>
        </w:rPr>
        <w:t> Moreover, they are friends and see each other at various social functions. The Act is not intended to alter the business or social relationships of these men so long as they are not meeting in their capacity as county commissioners for the purpose of conducting public business. Should public business arise</w:t>
      </w:r>
      <w:r>
        <w:rPr>
          <w:i/>
          <w:color w:val="231F20"/>
          <w:spacing w:val="40"/>
          <w:sz w:val="24"/>
        </w:rPr>
        <w:t> </w:t>
      </w:r>
      <w:r>
        <w:rPr>
          <w:i/>
          <w:color w:val="231F20"/>
          <w:sz w:val="24"/>
        </w:rPr>
        <w:t>in</w:t>
      </w:r>
      <w:r>
        <w:rPr>
          <w:i/>
          <w:color w:val="231F20"/>
          <w:spacing w:val="-5"/>
          <w:sz w:val="24"/>
        </w:rPr>
        <w:t> </w:t>
      </w:r>
      <w:r>
        <w:rPr>
          <w:i/>
          <w:color w:val="231F20"/>
          <w:sz w:val="24"/>
        </w:rPr>
        <w:t>such</w:t>
      </w:r>
      <w:r>
        <w:rPr>
          <w:i/>
          <w:color w:val="231F20"/>
          <w:spacing w:val="-5"/>
          <w:sz w:val="24"/>
        </w:rPr>
        <w:t> </w:t>
      </w:r>
      <w:r>
        <w:rPr>
          <w:i/>
          <w:color w:val="231F20"/>
          <w:sz w:val="24"/>
        </w:rPr>
        <w:t>business</w:t>
      </w:r>
      <w:r>
        <w:rPr>
          <w:i/>
          <w:color w:val="231F20"/>
          <w:spacing w:val="-5"/>
          <w:sz w:val="24"/>
        </w:rPr>
        <w:t> </w:t>
      </w:r>
      <w:r>
        <w:rPr>
          <w:i/>
          <w:color w:val="231F20"/>
          <w:sz w:val="24"/>
        </w:rPr>
        <w:t>or</w:t>
      </w:r>
      <w:r>
        <w:rPr>
          <w:i/>
          <w:color w:val="231F20"/>
          <w:spacing w:val="-5"/>
          <w:sz w:val="24"/>
        </w:rPr>
        <w:t> </w:t>
      </w:r>
      <w:r>
        <w:rPr>
          <w:i/>
          <w:color w:val="231F20"/>
          <w:sz w:val="24"/>
        </w:rPr>
        <w:t>social</w:t>
      </w:r>
      <w:r>
        <w:rPr>
          <w:i/>
          <w:color w:val="231F20"/>
          <w:spacing w:val="-5"/>
          <w:sz w:val="24"/>
        </w:rPr>
        <w:t> </w:t>
      </w:r>
      <w:r>
        <w:rPr>
          <w:i/>
          <w:color w:val="231F20"/>
          <w:sz w:val="24"/>
        </w:rPr>
        <w:t>settings,</w:t>
      </w:r>
      <w:r>
        <w:rPr>
          <w:i/>
          <w:color w:val="231F20"/>
          <w:spacing w:val="-5"/>
          <w:sz w:val="24"/>
        </w:rPr>
        <w:t> </w:t>
      </w:r>
      <w:r>
        <w:rPr>
          <w:i/>
          <w:color w:val="231F20"/>
          <w:sz w:val="24"/>
        </w:rPr>
        <w:t>the</w:t>
      </w:r>
      <w:r>
        <w:rPr>
          <w:i/>
          <w:color w:val="231F20"/>
          <w:spacing w:val="-5"/>
          <w:sz w:val="24"/>
        </w:rPr>
        <w:t> </w:t>
      </w:r>
      <w:r>
        <w:rPr>
          <w:i/>
          <w:color w:val="231F20"/>
          <w:sz w:val="24"/>
        </w:rPr>
        <w:t>two</w:t>
      </w:r>
      <w:r>
        <w:rPr>
          <w:i/>
          <w:color w:val="231F20"/>
          <w:spacing w:val="-5"/>
          <w:sz w:val="24"/>
        </w:rPr>
        <w:t> </w:t>
      </w:r>
      <w:r>
        <w:rPr>
          <w:i/>
          <w:color w:val="231F20"/>
          <w:sz w:val="24"/>
        </w:rPr>
        <w:t>men should avoid discussing the matter between themselves. Rather, the matter should be raised, discussed and decided in an open meeting of the board.</w:t>
      </w:r>
    </w:p>
    <w:p>
      <w:pPr>
        <w:pStyle w:val="BodyText"/>
        <w:rPr>
          <w:i/>
        </w:rPr>
      </w:pPr>
    </w:p>
    <w:p>
      <w:pPr>
        <w:pStyle w:val="ListParagraph"/>
        <w:numPr>
          <w:ilvl w:val="0"/>
          <w:numId w:val="7"/>
        </w:numPr>
        <w:tabs>
          <w:tab w:pos="1195" w:val="left" w:leader="none"/>
          <w:tab w:pos="1196" w:val="left" w:leader="none"/>
        </w:tabs>
        <w:spacing w:line="240" w:lineRule="auto" w:before="0" w:after="0"/>
        <w:ind w:left="1195" w:right="0" w:hanging="721"/>
        <w:jc w:val="left"/>
        <w:rPr>
          <w:sz w:val="24"/>
        </w:rPr>
      </w:pPr>
      <w:bookmarkStart w:name="2. Policymaking Bodies" w:id="37"/>
      <w:bookmarkEnd w:id="37"/>
      <w:r>
        <w:rPr>
          <w:sz w:val="24"/>
          <w:u w:val="single"/>
        </w:rPr>
        <w:t>P</w:t>
      </w:r>
      <w:r>
        <w:rPr>
          <w:sz w:val="24"/>
          <w:u w:val="single"/>
        </w:rPr>
        <w:t>olicymaking</w:t>
      </w:r>
      <w:r>
        <w:rPr>
          <w:spacing w:val="-9"/>
          <w:sz w:val="24"/>
          <w:u w:val="single"/>
        </w:rPr>
        <w:t> </w:t>
      </w:r>
      <w:r>
        <w:rPr>
          <w:spacing w:val="-2"/>
          <w:sz w:val="24"/>
          <w:u w:val="single"/>
        </w:rPr>
        <w:t>Bodies</w:t>
      </w:r>
    </w:p>
    <w:p>
      <w:pPr>
        <w:pStyle w:val="BodyText"/>
      </w:pPr>
    </w:p>
    <w:p>
      <w:pPr>
        <w:pStyle w:val="ListParagraph"/>
        <w:numPr>
          <w:ilvl w:val="1"/>
          <w:numId w:val="7"/>
        </w:numPr>
        <w:tabs>
          <w:tab w:pos="1421" w:val="left" w:leader="none"/>
        </w:tabs>
        <w:spacing w:line="240" w:lineRule="auto" w:before="0" w:after="0"/>
        <w:ind w:left="1420" w:right="0" w:hanging="226"/>
        <w:jc w:val="left"/>
        <w:rPr>
          <w:sz w:val="24"/>
        </w:rPr>
      </w:pPr>
      <w:bookmarkStart w:name="a. Administrative Adjudicatory Bodies" w:id="38"/>
      <w:bookmarkEnd w:id="38"/>
      <w:r>
        <w:rPr>
          <w:color w:val="231F20"/>
          <w:sz w:val="24"/>
        </w:rPr>
        <w:t>A</w:t>
      </w:r>
      <w:r>
        <w:rPr>
          <w:color w:val="231F20"/>
          <w:sz w:val="24"/>
        </w:rPr>
        <w:t>dministrative</w:t>
      </w:r>
      <w:r>
        <w:rPr>
          <w:color w:val="231F20"/>
          <w:spacing w:val="-9"/>
          <w:sz w:val="24"/>
        </w:rPr>
        <w:t> </w:t>
      </w:r>
      <w:r>
        <w:rPr>
          <w:color w:val="231F20"/>
          <w:sz w:val="24"/>
        </w:rPr>
        <w:t>Adjudicatory</w:t>
      </w:r>
      <w:r>
        <w:rPr>
          <w:color w:val="231F20"/>
          <w:spacing w:val="-9"/>
          <w:sz w:val="24"/>
        </w:rPr>
        <w:t> </w:t>
      </w:r>
      <w:r>
        <w:rPr>
          <w:color w:val="231F20"/>
          <w:spacing w:val="-2"/>
          <w:sz w:val="24"/>
        </w:rPr>
        <w:t>Bodies</w:t>
      </w:r>
    </w:p>
    <w:p>
      <w:pPr>
        <w:pStyle w:val="BodyText"/>
      </w:pPr>
    </w:p>
    <w:p>
      <w:pPr>
        <w:pStyle w:val="BodyText"/>
        <w:ind w:left="475" w:right="727"/>
        <w:jc w:val="both"/>
      </w:pPr>
      <w:r>
        <w:rPr>
          <w:color w:val="231F20"/>
        </w:rPr>
        <w:t>The</w:t>
      </w:r>
      <w:r>
        <w:rPr>
          <w:color w:val="231F20"/>
          <w:spacing w:val="80"/>
        </w:rPr>
        <w:t> </w:t>
      </w:r>
      <w:r>
        <w:rPr>
          <w:color w:val="231F20"/>
        </w:rPr>
        <w:t>Act</w:t>
      </w:r>
      <w:r>
        <w:rPr>
          <w:color w:val="231F20"/>
          <w:spacing w:val="40"/>
        </w:rPr>
        <w:t> </w:t>
      </w:r>
      <w:r>
        <w:rPr>
          <w:color w:val="231F20"/>
        </w:rPr>
        <w:t>broadly</w:t>
      </w:r>
      <w:r>
        <w:rPr>
          <w:color w:val="231F20"/>
          <w:spacing w:val="40"/>
        </w:rPr>
        <w:t> </w:t>
      </w:r>
      <w:r>
        <w:rPr>
          <w:color w:val="231F20"/>
        </w:rPr>
        <w:t>covers</w:t>
      </w:r>
      <w:r>
        <w:rPr>
          <w:color w:val="231F20"/>
          <w:spacing w:val="40"/>
        </w:rPr>
        <w:t> </w:t>
      </w:r>
      <w:r>
        <w:rPr>
          <w:color w:val="231F20"/>
        </w:rPr>
        <w:t>every</w:t>
      </w:r>
      <w:r>
        <w:rPr>
          <w:color w:val="231F20"/>
          <w:spacing w:val="40"/>
        </w:rPr>
        <w:t> </w:t>
      </w:r>
      <w:r>
        <w:rPr>
          <w:color w:val="231F20"/>
        </w:rPr>
        <w:t>kind</w:t>
      </w:r>
      <w:r>
        <w:rPr>
          <w:color w:val="231F20"/>
          <w:spacing w:val="80"/>
        </w:rPr>
        <w:t> </w:t>
      </w:r>
      <w:r>
        <w:rPr>
          <w:color w:val="231F20"/>
        </w:rPr>
        <w:t>of</w:t>
      </w:r>
      <w:r>
        <w:rPr>
          <w:color w:val="231F20"/>
          <w:spacing w:val="40"/>
        </w:rPr>
        <w:t> </w:t>
      </w:r>
      <w:r>
        <w:rPr>
          <w:color w:val="231F20"/>
        </w:rPr>
        <w:t>public</w:t>
      </w:r>
      <w:r>
        <w:rPr>
          <w:color w:val="231F20"/>
          <w:spacing w:val="40"/>
        </w:rPr>
        <w:t>  </w:t>
      </w:r>
      <w:r>
        <w:rPr>
          <w:color w:val="231F20"/>
        </w:rPr>
        <w:t>body</w:t>
      </w:r>
      <w:r>
        <w:rPr>
          <w:color w:val="231F20"/>
          <w:spacing w:val="40"/>
        </w:rPr>
        <w:t>  </w:t>
      </w:r>
      <w:r>
        <w:rPr>
          <w:color w:val="231F20"/>
        </w:rPr>
        <w:t>that</w:t>
      </w:r>
      <w:r>
        <w:rPr>
          <w:color w:val="231F20"/>
          <w:spacing w:val="40"/>
        </w:rPr>
        <w:t>  </w:t>
      </w:r>
      <w:r>
        <w:rPr>
          <w:color w:val="231F20"/>
        </w:rPr>
        <w:t>can</w:t>
      </w:r>
      <w:r>
        <w:rPr>
          <w:color w:val="231F20"/>
          <w:spacing w:val="40"/>
        </w:rPr>
        <w:t>  </w:t>
      </w:r>
      <w:r>
        <w:rPr>
          <w:color w:val="231F20"/>
        </w:rPr>
        <w:t>be</w:t>
      </w:r>
      <w:r>
        <w:rPr>
          <w:color w:val="231F20"/>
          <w:spacing w:val="40"/>
        </w:rPr>
        <w:t>  </w:t>
      </w:r>
      <w:r>
        <w:rPr>
          <w:color w:val="231F20"/>
        </w:rPr>
        <w:t>characterized</w:t>
      </w:r>
      <w:r>
        <w:rPr>
          <w:color w:val="231F20"/>
          <w:spacing w:val="80"/>
        </w:rPr>
        <w:t> </w:t>
      </w:r>
      <w:r>
        <w:rPr>
          <w:color w:val="231F20"/>
        </w:rPr>
        <w:t>as “policymaking,” including those that perform administrative</w:t>
      </w:r>
      <w:r>
        <w:rPr>
          <w:color w:val="231F20"/>
        </w:rPr>
        <w:t> adjudicatory</w:t>
      </w:r>
      <w:r>
        <w:rPr>
          <w:color w:val="231F20"/>
        </w:rPr>
        <w:t> functions. </w:t>
      </w:r>
      <w:r>
        <w:rPr>
          <w:color w:val="231F20"/>
          <w:spacing w:val="-2"/>
        </w:rPr>
        <w:t>Administrative</w:t>
      </w:r>
      <w:r>
        <w:rPr>
          <w:color w:val="231F20"/>
          <w:spacing w:val="-2"/>
        </w:rPr>
        <w:t> adjudicatory</w:t>
      </w:r>
      <w:r>
        <w:rPr>
          <w:color w:val="231F20"/>
          <w:spacing w:val="-2"/>
        </w:rPr>
        <w:t> functions</w:t>
      </w:r>
      <w:r>
        <w:rPr>
          <w:color w:val="231F20"/>
          <w:spacing w:val="-2"/>
        </w:rPr>
        <w:t> generally </w:t>
      </w:r>
      <w:r>
        <w:rPr>
          <w:color w:val="231F20"/>
        </w:rPr>
        <w:t>include holding trial-type hearings to consider facts and reaching conclusions regarding individual</w:t>
      </w:r>
      <w:r>
        <w:rPr>
          <w:color w:val="231F20"/>
          <w:spacing w:val="-9"/>
        </w:rPr>
        <w:t> </w:t>
      </w:r>
      <w:r>
        <w:rPr>
          <w:color w:val="231F20"/>
        </w:rPr>
        <w:t>legal</w:t>
      </w:r>
      <w:r>
        <w:rPr>
          <w:color w:val="231F20"/>
          <w:spacing w:val="-6"/>
        </w:rPr>
        <w:t> </w:t>
      </w:r>
      <w:r>
        <w:rPr>
          <w:color w:val="231F20"/>
        </w:rPr>
        <w:t>rights,</w:t>
      </w:r>
      <w:r>
        <w:rPr>
          <w:color w:val="231F20"/>
          <w:spacing w:val="-9"/>
        </w:rPr>
        <w:t> </w:t>
      </w:r>
      <w:r>
        <w:rPr>
          <w:color w:val="231F20"/>
        </w:rPr>
        <w:t>duties</w:t>
      </w:r>
      <w:r>
        <w:rPr>
          <w:color w:val="231F20"/>
          <w:spacing w:val="-6"/>
        </w:rPr>
        <w:t> </w:t>
      </w:r>
      <w:r>
        <w:rPr>
          <w:color w:val="231F20"/>
        </w:rPr>
        <w:t>or</w:t>
      </w:r>
      <w:r>
        <w:rPr>
          <w:color w:val="231F20"/>
          <w:spacing w:val="-7"/>
        </w:rPr>
        <w:t> </w:t>
      </w:r>
      <w:r>
        <w:rPr>
          <w:color w:val="231F20"/>
        </w:rPr>
        <w:t>privileges.</w:t>
      </w:r>
    </w:p>
    <w:p>
      <w:pPr>
        <w:pStyle w:val="BodyText"/>
      </w:pPr>
    </w:p>
    <w:p>
      <w:pPr>
        <w:pStyle w:val="ListParagraph"/>
        <w:numPr>
          <w:ilvl w:val="1"/>
          <w:numId w:val="7"/>
        </w:numPr>
        <w:tabs>
          <w:tab w:pos="1436" w:val="left" w:leader="none"/>
        </w:tabs>
        <w:spacing w:line="240" w:lineRule="auto" w:before="0" w:after="0"/>
        <w:ind w:left="1435" w:right="0" w:hanging="241"/>
        <w:jc w:val="left"/>
        <w:rPr>
          <w:sz w:val="24"/>
        </w:rPr>
      </w:pPr>
      <w:bookmarkStart w:name="b. Committees" w:id="39"/>
      <w:bookmarkEnd w:id="39"/>
      <w:r>
        <w:rPr>
          <w:color w:val="231F20"/>
          <w:spacing w:val="-2"/>
          <w:sz w:val="24"/>
        </w:rPr>
        <w:t>Committ</w:t>
      </w:r>
      <w:r>
        <w:rPr>
          <w:color w:val="231F20"/>
          <w:spacing w:val="-2"/>
          <w:sz w:val="24"/>
        </w:rPr>
        <w:t>ees</w:t>
      </w:r>
    </w:p>
    <w:p>
      <w:pPr>
        <w:pStyle w:val="BodyText"/>
      </w:pPr>
    </w:p>
    <w:p>
      <w:pPr>
        <w:pStyle w:val="BodyText"/>
        <w:ind w:left="475" w:right="735"/>
        <w:jc w:val="both"/>
      </w:pPr>
      <w:r>
        <w:rPr>
          <w:color w:val="231F20"/>
        </w:rPr>
        <w:t>The Act specifically refers only to meetings of a quorum of the members of a public body. Meetings of a committee of a public body that is composed of less than a quorum of the members or of non-members of the public body may not be subject to the provisions of the Act if the committee engages solely in</w:t>
      </w:r>
      <w:r>
        <w:rPr>
          <w:color w:val="231F20"/>
          <w:spacing w:val="80"/>
        </w:rPr>
        <w:t> </w:t>
      </w:r>
      <w:r>
        <w:rPr>
          <w:color w:val="231F20"/>
        </w:rPr>
        <w:t>fact-finding, simply executes the policy decisions or final actions of the public </w:t>
      </w:r>
      <w:r>
        <w:rPr>
          <w:color w:val="231F20"/>
        </w:rPr>
        <w:t>body and does not otherwise act as a policymaking </w:t>
      </w:r>
      <w:r>
        <w:rPr>
          <w:color w:val="231F20"/>
          <w:spacing w:val="-2"/>
        </w:rPr>
        <w:t>body.</w:t>
      </w:r>
    </w:p>
    <w:p>
      <w:pPr>
        <w:pStyle w:val="BodyText"/>
        <w:spacing w:before="9"/>
        <w:rPr>
          <w:sz w:val="23"/>
        </w:rPr>
      </w:pPr>
    </w:p>
    <w:p>
      <w:pPr>
        <w:pStyle w:val="BodyText"/>
        <w:spacing w:before="1"/>
        <w:ind w:left="475" w:right="734"/>
        <w:jc w:val="both"/>
      </w:pPr>
      <w:r>
        <w:rPr>
          <w:color w:val="231F20"/>
        </w:rPr>
        <w:t>A committee established for fact-finding purposes by a board or commission should be distinguished from committees created by statute performing the same functions. A committee created by statute is a public body subject to the Open Meetings Act because the legislature considered the committee’s functions</w:t>
      </w:r>
      <w:r>
        <w:rPr>
          <w:color w:val="231F20"/>
          <w:spacing w:val="-7"/>
        </w:rPr>
        <w:t> </w:t>
      </w:r>
      <w:r>
        <w:rPr>
          <w:color w:val="231F20"/>
        </w:rPr>
        <w:t>important</w:t>
      </w:r>
      <w:r>
        <w:rPr>
          <w:color w:val="231F20"/>
          <w:spacing w:val="-7"/>
        </w:rPr>
        <w:t> </w:t>
      </w:r>
      <w:r>
        <w:rPr>
          <w:color w:val="231F20"/>
        </w:rPr>
        <w:t>enough</w:t>
      </w:r>
      <w:r>
        <w:rPr>
          <w:color w:val="231F20"/>
          <w:spacing w:val="-7"/>
        </w:rPr>
        <w:t> </w:t>
      </w:r>
      <w:r>
        <w:rPr>
          <w:color w:val="231F20"/>
        </w:rPr>
        <w:t>to</w:t>
      </w:r>
      <w:r>
        <w:rPr>
          <w:color w:val="231F20"/>
          <w:spacing w:val="-7"/>
        </w:rPr>
        <w:t> </w:t>
      </w:r>
      <w:r>
        <w:rPr>
          <w:color w:val="231F20"/>
        </w:rPr>
        <w:t>provide</w:t>
      </w:r>
      <w:r>
        <w:rPr>
          <w:color w:val="231F20"/>
          <w:spacing w:val="-8"/>
        </w:rPr>
        <w:t> </w:t>
      </w:r>
      <w:r>
        <w:rPr>
          <w:color w:val="231F20"/>
        </w:rPr>
        <w:t>it</w:t>
      </w:r>
      <w:r>
        <w:rPr>
          <w:color w:val="231F20"/>
          <w:spacing w:val="-6"/>
        </w:rPr>
        <w:t> </w:t>
      </w:r>
      <w:r>
        <w:rPr>
          <w:color w:val="231F20"/>
        </w:rPr>
        <w:t>with</w:t>
      </w:r>
      <w:r>
        <w:rPr>
          <w:color w:val="231F20"/>
          <w:spacing w:val="-7"/>
        </w:rPr>
        <w:t> </w:t>
      </w:r>
      <w:r>
        <w:rPr>
          <w:color w:val="231F20"/>
          <w:spacing w:val="-10"/>
        </w:rPr>
        <w:t>a</w:t>
      </w:r>
    </w:p>
    <w:p>
      <w:pPr>
        <w:spacing w:after="0"/>
        <w:jc w:val="both"/>
        <w:sectPr>
          <w:type w:val="continuous"/>
          <w:pgSz w:w="12240" w:h="15840"/>
          <w:pgMar w:header="660" w:footer="484" w:top="480" w:bottom="280" w:left="360" w:right="240"/>
          <w:cols w:num="2" w:equalWidth="0">
            <w:col w:w="5061" w:space="821"/>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9"/>
        <w:jc w:val="both"/>
      </w:pPr>
      <w:r>
        <w:rPr>
          <w:color w:val="231F20"/>
        </w:rPr>
        <w:t>separate existence as a public body, and because</w:t>
      </w:r>
      <w:r>
        <w:rPr>
          <w:color w:val="231F20"/>
          <w:spacing w:val="-3"/>
        </w:rPr>
        <w:t> </w:t>
      </w:r>
      <w:r>
        <w:rPr>
          <w:color w:val="231F20"/>
        </w:rPr>
        <w:t>the</w:t>
      </w:r>
      <w:r>
        <w:rPr>
          <w:color w:val="231F20"/>
          <w:spacing w:val="-3"/>
        </w:rPr>
        <w:t> </w:t>
      </w:r>
      <w:r>
        <w:rPr>
          <w:color w:val="231F20"/>
        </w:rPr>
        <w:t>committee</w:t>
      </w:r>
      <w:r>
        <w:rPr>
          <w:color w:val="231F20"/>
          <w:spacing w:val="-5"/>
        </w:rPr>
        <w:t> </w:t>
      </w:r>
      <w:r>
        <w:rPr>
          <w:color w:val="231F20"/>
        </w:rPr>
        <w:t>is</w:t>
      </w:r>
      <w:r>
        <w:rPr>
          <w:color w:val="231F20"/>
          <w:spacing w:val="-4"/>
        </w:rPr>
        <w:t> </w:t>
      </w:r>
      <w:r>
        <w:rPr>
          <w:color w:val="231F20"/>
        </w:rPr>
        <w:t>not</w:t>
      </w:r>
      <w:r>
        <w:rPr>
          <w:color w:val="231F20"/>
          <w:spacing w:val="-4"/>
        </w:rPr>
        <w:t> </w:t>
      </w:r>
      <w:r>
        <w:rPr>
          <w:color w:val="231F20"/>
        </w:rPr>
        <w:t>simply</w:t>
      </w:r>
      <w:r>
        <w:rPr>
          <w:color w:val="231F20"/>
          <w:spacing w:val="-9"/>
        </w:rPr>
        <w:t> </w:t>
      </w:r>
      <w:r>
        <w:rPr>
          <w:color w:val="231F20"/>
        </w:rPr>
        <w:t>created</w:t>
      </w:r>
      <w:r>
        <w:rPr>
          <w:color w:val="231F20"/>
          <w:spacing w:val="-4"/>
        </w:rPr>
        <w:t> </w:t>
      </w:r>
      <w:r>
        <w:rPr>
          <w:color w:val="231F20"/>
        </w:rPr>
        <w:t>by a public body as a means to carry out that body’s business.</w:t>
      </w:r>
    </w:p>
    <w:p>
      <w:pPr>
        <w:pStyle w:val="BodyText"/>
        <w:spacing w:before="11"/>
        <w:rPr>
          <w:sz w:val="23"/>
        </w:rPr>
      </w:pPr>
    </w:p>
    <w:p>
      <w:pPr>
        <w:pStyle w:val="BodyText"/>
        <w:ind w:left="475" w:right="38"/>
        <w:jc w:val="both"/>
      </w:pPr>
      <w:r>
        <w:rPr>
          <w:color w:val="231F20"/>
        </w:rPr>
        <w:t>In</w:t>
      </w:r>
      <w:r>
        <w:rPr>
          <w:color w:val="231F20"/>
        </w:rPr>
        <w:t> some situations, even a </w:t>
      </w:r>
      <w:r>
        <w:rPr>
          <w:color w:val="231F20"/>
        </w:rPr>
        <w:t>non-statutory committee appointed by a public body may constitute a “policymaking body” subject to</w:t>
      </w:r>
      <w:r>
        <w:rPr>
          <w:color w:val="231F20"/>
          <w:spacing w:val="40"/>
        </w:rPr>
        <w:t> </w:t>
      </w:r>
      <w:r>
        <w:rPr>
          <w:color w:val="231F20"/>
        </w:rPr>
        <w:t>the Act if it makes any decisions on behalf of, formulates recommendations that are binding in any legal or practical way on, or otherwise establishes policy for the public body. A</w:t>
      </w:r>
      <w:r>
        <w:rPr>
          <w:color w:val="231F20"/>
          <w:spacing w:val="80"/>
        </w:rPr>
        <w:t> </w:t>
      </w:r>
      <w:r>
        <w:rPr>
          <w:color w:val="231F20"/>
        </w:rPr>
        <w:t>public body may not evade its obligations under the Act by delegating its responsibilities for making decisions and taking final action to a committee. This is true even when the public body delegates its authority for holding a meeting or hearing to a single individual. If a hearing would be subject to the Act if convened by the public body, the hearing cannot be closed simply because the public body appoints a single hearing officer to hold the hearing in its place.</w:t>
      </w:r>
    </w:p>
    <w:p>
      <w:pPr>
        <w:pStyle w:val="BodyText"/>
      </w:pPr>
    </w:p>
    <w:p>
      <w:pPr>
        <w:pStyle w:val="BodyText"/>
        <w:spacing w:before="1"/>
        <w:ind w:left="475" w:right="38"/>
        <w:jc w:val="both"/>
      </w:pPr>
      <w:r>
        <w:rPr>
          <w:color w:val="231F20"/>
        </w:rPr>
        <w:t>Excepted from this rule are hearing officers specifically authorized by statute. In those situations, the legislature has placed responsibility for holding a hearing with either the public body or the hearing officer, and the hearing officer’s authority to hold a hearing is not based solely on delegation by the public body. Because, under these circumstances, the hearing officer acts under separate authority rather than as a replacement for the public</w:t>
      </w:r>
      <w:r>
        <w:rPr>
          <w:color w:val="231F20"/>
          <w:spacing w:val="40"/>
        </w:rPr>
        <w:t> </w:t>
      </w:r>
      <w:r>
        <w:rPr>
          <w:color w:val="231F20"/>
        </w:rPr>
        <w:t>body and because such a statutory hearing officer is not itself a public body, a hearing held by the hearing officer would not be subject to the Act. However, provisions of law other than the Open Meetings Act may apply and require the proceedings to be open. For example, all hearings under the Uniform Licensing Act, including those conducted by a hearing</w:t>
      </w:r>
      <w:r>
        <w:rPr>
          <w:color w:val="231F20"/>
          <w:spacing w:val="-5"/>
        </w:rPr>
        <w:t> </w:t>
      </w:r>
      <w:r>
        <w:rPr>
          <w:color w:val="231F20"/>
        </w:rPr>
        <w:t>officer,</w:t>
      </w:r>
      <w:r>
        <w:rPr>
          <w:color w:val="231F20"/>
          <w:spacing w:val="-3"/>
        </w:rPr>
        <w:t> </w:t>
      </w:r>
      <w:r>
        <w:rPr>
          <w:color w:val="231F20"/>
        </w:rPr>
        <w:t>must</w:t>
      </w:r>
      <w:r>
        <w:rPr>
          <w:color w:val="231F20"/>
          <w:spacing w:val="-3"/>
        </w:rPr>
        <w:t> </w:t>
      </w:r>
      <w:r>
        <w:rPr>
          <w:color w:val="231F20"/>
        </w:rPr>
        <w:t>be</w:t>
      </w:r>
      <w:r>
        <w:rPr>
          <w:color w:val="231F20"/>
          <w:spacing w:val="-4"/>
        </w:rPr>
        <w:t> </w:t>
      </w:r>
      <w:r>
        <w:rPr>
          <w:color w:val="231F20"/>
        </w:rPr>
        <w:t>open</w:t>
      </w:r>
      <w:r>
        <w:rPr>
          <w:color w:val="231F20"/>
          <w:spacing w:val="-3"/>
        </w:rPr>
        <w:t> </w:t>
      </w:r>
      <w:r>
        <w:rPr>
          <w:color w:val="231F20"/>
        </w:rPr>
        <w:t>to</w:t>
      </w:r>
      <w:r>
        <w:rPr>
          <w:color w:val="231F20"/>
          <w:spacing w:val="-3"/>
        </w:rPr>
        <w:t> </w:t>
      </w:r>
      <w:r>
        <w:rPr>
          <w:color w:val="231F20"/>
        </w:rPr>
        <w:t>the</w:t>
      </w:r>
      <w:r>
        <w:rPr>
          <w:color w:val="231F20"/>
          <w:spacing w:val="-4"/>
        </w:rPr>
        <w:t> </w:t>
      </w:r>
      <w:r>
        <w:rPr>
          <w:color w:val="231F20"/>
        </w:rPr>
        <w:t>public.</w:t>
      </w:r>
      <w:r>
        <w:rPr>
          <w:color w:val="231F20"/>
          <w:spacing w:val="-3"/>
        </w:rPr>
        <w:t> </w:t>
      </w:r>
      <w:r>
        <w:rPr>
          <w:i/>
          <w:color w:val="231F20"/>
        </w:rPr>
        <w:t>See</w:t>
      </w:r>
      <w:r>
        <w:rPr>
          <w:i/>
          <w:color w:val="231F20"/>
        </w:rPr>
        <w:t> </w:t>
      </w:r>
      <w:r>
        <w:rPr>
          <w:color w:val="231F20"/>
        </w:rPr>
        <w:t>NMSA 1978, Section 61-1-7.</w:t>
      </w:r>
    </w:p>
    <w:p>
      <w:pPr>
        <w:pStyle w:val="BodyText"/>
        <w:spacing w:before="9"/>
        <w:rPr>
          <w:sz w:val="23"/>
        </w:rPr>
      </w:pPr>
    </w:p>
    <w:p>
      <w:pPr>
        <w:pStyle w:val="BodyText"/>
        <w:ind w:left="475" w:right="38"/>
        <w:jc w:val="both"/>
      </w:pPr>
      <w:r>
        <w:rPr>
          <w:color w:val="231F20"/>
        </w:rPr>
        <w:t>Of</w:t>
      </w:r>
      <w:r>
        <w:rPr>
          <w:color w:val="231F20"/>
        </w:rPr>
        <w:t> course, where the chief policymaking official of an agency is a single individual, the Act does not apply</w:t>
      </w:r>
      <w:r>
        <w:rPr>
          <w:color w:val="231F20"/>
          <w:spacing w:val="-4"/>
        </w:rPr>
        <w:t> </w:t>
      </w:r>
      <w:r>
        <w:rPr>
          <w:color w:val="231F20"/>
        </w:rPr>
        <w:t>because the official is not a public</w:t>
      </w:r>
      <w:r>
        <w:rPr>
          <w:color w:val="231F20"/>
          <w:spacing w:val="64"/>
        </w:rPr>
        <w:t>  </w:t>
      </w:r>
      <w:r>
        <w:rPr>
          <w:color w:val="231F20"/>
        </w:rPr>
        <w:t>body,</w:t>
      </w:r>
      <w:r>
        <w:rPr>
          <w:color w:val="231F20"/>
          <w:spacing w:val="65"/>
        </w:rPr>
        <w:t>  </w:t>
      </w:r>
      <w:r>
        <w:rPr>
          <w:color w:val="231F20"/>
        </w:rPr>
        <w:t>complete</w:t>
      </w:r>
      <w:r>
        <w:rPr>
          <w:color w:val="231F20"/>
          <w:spacing w:val="65"/>
        </w:rPr>
        <w:t>  </w:t>
      </w:r>
      <w:r>
        <w:rPr>
          <w:color w:val="231F20"/>
        </w:rPr>
        <w:t>decision</w:t>
      </w:r>
      <w:r>
        <w:rPr>
          <w:color w:val="231F20"/>
          <w:spacing w:val="65"/>
        </w:rPr>
        <w:t>  </w:t>
      </w:r>
      <w:r>
        <w:rPr>
          <w:color w:val="231F20"/>
          <w:spacing w:val="-2"/>
        </w:rPr>
        <w:t>making</w:t>
      </w:r>
    </w:p>
    <w:p>
      <w:pPr>
        <w:pStyle w:val="BodyText"/>
        <w:spacing w:before="90"/>
        <w:ind w:left="475" w:right="735"/>
        <w:jc w:val="both"/>
      </w:pPr>
      <w:r>
        <w:rPr/>
        <w:br w:type="column"/>
      </w:r>
      <w:r>
        <w:rPr>
          <w:color w:val="231F20"/>
        </w:rPr>
        <w:t>authority</w:t>
      </w:r>
      <w:r>
        <w:rPr>
          <w:color w:val="231F20"/>
          <w:spacing w:val="-4"/>
        </w:rPr>
        <w:t> </w:t>
      </w:r>
      <w:r>
        <w:rPr>
          <w:color w:val="231F20"/>
        </w:rPr>
        <w:t>is vested solely</w:t>
      </w:r>
      <w:r>
        <w:rPr>
          <w:color w:val="231F20"/>
          <w:spacing w:val="-2"/>
        </w:rPr>
        <w:t> </w:t>
      </w:r>
      <w:r>
        <w:rPr>
          <w:color w:val="231F20"/>
        </w:rPr>
        <w:t>in the</w:t>
      </w:r>
      <w:r>
        <w:rPr>
          <w:color w:val="231F20"/>
          <w:spacing w:val="-1"/>
        </w:rPr>
        <w:t> </w:t>
      </w:r>
      <w:r>
        <w:rPr>
          <w:color w:val="231F20"/>
        </w:rPr>
        <w:t>official, and no deliberation or vote is necessary for effective </w:t>
      </w:r>
      <w:r>
        <w:rPr>
          <w:color w:val="231F20"/>
          <w:spacing w:val="-2"/>
        </w:rPr>
        <w:t>action.</w:t>
      </w:r>
    </w:p>
    <w:p>
      <w:pPr>
        <w:pStyle w:val="BodyText"/>
        <w:spacing w:before="11"/>
        <w:rPr>
          <w:sz w:val="23"/>
        </w:rPr>
      </w:pPr>
    </w:p>
    <w:p>
      <w:pPr>
        <w:spacing w:before="0"/>
        <w:ind w:left="475" w:right="0" w:firstLine="0"/>
        <w:jc w:val="both"/>
        <w:rPr>
          <w:i/>
          <w:sz w:val="24"/>
        </w:rPr>
      </w:pPr>
      <w:bookmarkStart w:name="Example 6:" w:id="40"/>
      <w:bookmarkEnd w:id="4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w:t>
      </w:r>
    </w:p>
    <w:p>
      <w:pPr>
        <w:pStyle w:val="BodyText"/>
        <w:rPr>
          <w:i/>
        </w:rPr>
      </w:pPr>
    </w:p>
    <w:p>
      <w:pPr>
        <w:spacing w:before="0"/>
        <w:ind w:left="475" w:right="735" w:firstLine="0"/>
        <w:jc w:val="both"/>
        <w:rPr>
          <w:i/>
          <w:sz w:val="24"/>
        </w:rPr>
      </w:pPr>
      <w:r>
        <w:rPr>
          <w:i/>
          <w:color w:val="231F20"/>
          <w:sz w:val="24"/>
        </w:rPr>
        <w:t>The governor, the superintendent of insurance</w:t>
      </w:r>
      <w:r>
        <w:rPr>
          <w:i/>
          <w:color w:val="231F20"/>
          <w:sz w:val="24"/>
        </w:rPr>
        <w:t> and the chief of the state police get together to discuss issues about which the three are concerned. These persons, although public officials, do not constitute a “public body” and, therefore, their meeting is not subject to the provisions of the Act.</w:t>
      </w:r>
    </w:p>
    <w:p>
      <w:pPr>
        <w:pStyle w:val="BodyText"/>
        <w:rPr>
          <w:i/>
        </w:rPr>
      </w:pPr>
    </w:p>
    <w:p>
      <w:pPr>
        <w:spacing w:before="0"/>
        <w:ind w:left="475" w:right="0" w:firstLine="0"/>
        <w:jc w:val="both"/>
        <w:rPr>
          <w:i/>
          <w:sz w:val="24"/>
        </w:rPr>
      </w:pPr>
      <w:bookmarkStart w:name="Example 7:" w:id="41"/>
      <w:bookmarkEnd w:id="4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w:t>
      </w:r>
    </w:p>
    <w:p>
      <w:pPr>
        <w:pStyle w:val="BodyText"/>
        <w:rPr>
          <w:i/>
        </w:rPr>
      </w:pPr>
    </w:p>
    <w:p>
      <w:pPr>
        <w:spacing w:before="0"/>
        <w:ind w:left="475" w:right="735" w:firstLine="0"/>
        <w:jc w:val="both"/>
        <w:rPr>
          <w:i/>
          <w:sz w:val="24"/>
        </w:rPr>
      </w:pPr>
      <w:r>
        <w:rPr>
          <w:i/>
          <w:color w:val="231F20"/>
          <w:sz w:val="24"/>
        </w:rPr>
        <w:t>The parents in a school district have been</w:t>
      </w:r>
      <w:r>
        <w:rPr>
          <w:i/>
          <w:color w:val="231F20"/>
          <w:sz w:val="24"/>
        </w:rPr>
        <w:t> asked by the superintendent to form a</w:t>
      </w:r>
      <w:r>
        <w:rPr>
          <w:i/>
          <w:color w:val="231F20"/>
          <w:spacing w:val="-1"/>
          <w:sz w:val="24"/>
        </w:rPr>
        <w:t> </w:t>
      </w:r>
      <w:r>
        <w:rPr>
          <w:i/>
          <w:color w:val="231F20"/>
          <w:sz w:val="24"/>
        </w:rPr>
        <w:t>group to study</w:t>
      </w:r>
      <w:r>
        <w:rPr>
          <w:i/>
          <w:color w:val="231F20"/>
          <w:spacing w:val="-5"/>
          <w:sz w:val="24"/>
        </w:rPr>
        <w:t> </w:t>
      </w:r>
      <w:r>
        <w:rPr>
          <w:i/>
          <w:color w:val="231F20"/>
          <w:sz w:val="24"/>
        </w:rPr>
        <w:t>the</w:t>
      </w:r>
      <w:r>
        <w:rPr>
          <w:i/>
          <w:color w:val="231F20"/>
          <w:spacing w:val="-5"/>
          <w:sz w:val="24"/>
        </w:rPr>
        <w:t> </w:t>
      </w:r>
      <w:r>
        <w:rPr>
          <w:i/>
          <w:color w:val="231F20"/>
          <w:sz w:val="24"/>
        </w:rPr>
        <w:t>district’s</w:t>
      </w:r>
      <w:r>
        <w:rPr>
          <w:i/>
          <w:color w:val="231F20"/>
          <w:spacing w:val="-4"/>
          <w:sz w:val="24"/>
        </w:rPr>
        <w:t> </w:t>
      </w:r>
      <w:r>
        <w:rPr>
          <w:i/>
          <w:color w:val="231F20"/>
          <w:sz w:val="24"/>
        </w:rPr>
        <w:t>athletic</w:t>
      </w:r>
      <w:r>
        <w:rPr>
          <w:i/>
          <w:color w:val="231F20"/>
          <w:spacing w:val="-5"/>
          <w:sz w:val="24"/>
        </w:rPr>
        <w:t> </w:t>
      </w:r>
      <w:r>
        <w:rPr>
          <w:i/>
          <w:color w:val="231F20"/>
          <w:sz w:val="24"/>
        </w:rPr>
        <w:t>programs</w:t>
      </w:r>
      <w:r>
        <w:rPr>
          <w:i/>
          <w:color w:val="231F20"/>
          <w:spacing w:val="-4"/>
          <w:sz w:val="24"/>
        </w:rPr>
        <w:t> </w:t>
      </w:r>
      <w:r>
        <w:rPr>
          <w:i/>
          <w:color w:val="231F20"/>
          <w:sz w:val="24"/>
        </w:rPr>
        <w:t>and</w:t>
      </w:r>
      <w:r>
        <w:rPr>
          <w:i/>
          <w:color w:val="231F20"/>
          <w:spacing w:val="-4"/>
          <w:sz w:val="24"/>
        </w:rPr>
        <w:t> </w:t>
      </w:r>
      <w:r>
        <w:rPr>
          <w:i/>
          <w:color w:val="231F20"/>
          <w:sz w:val="24"/>
        </w:rPr>
        <w:t>make recommendations to the school board. The group’s recommendations are not binding on the board. Because they act solely in an advisory capacity, and have no authority to make decisions on behalf of the board, the parents do not constitute a policymaking body of the school district and their meetings are</w:t>
      </w:r>
      <w:r>
        <w:rPr>
          <w:i/>
          <w:color w:val="231F20"/>
          <w:spacing w:val="40"/>
          <w:sz w:val="24"/>
        </w:rPr>
        <w:t> </w:t>
      </w:r>
      <w:r>
        <w:rPr>
          <w:i/>
          <w:color w:val="231F20"/>
          <w:sz w:val="24"/>
        </w:rPr>
        <w:t>not subject to the provisions of the Act.</w:t>
      </w:r>
    </w:p>
    <w:p>
      <w:pPr>
        <w:pStyle w:val="BodyText"/>
        <w:spacing w:before="1"/>
        <w:rPr>
          <w:i/>
        </w:rPr>
      </w:pPr>
    </w:p>
    <w:p>
      <w:pPr>
        <w:spacing w:before="0"/>
        <w:ind w:left="475" w:right="0" w:firstLine="0"/>
        <w:jc w:val="both"/>
        <w:rPr>
          <w:i/>
          <w:sz w:val="24"/>
        </w:rPr>
      </w:pPr>
      <w:bookmarkStart w:name="Example 8:" w:id="42"/>
      <w:bookmarkEnd w:id="4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w:t>
      </w:r>
    </w:p>
    <w:p>
      <w:pPr>
        <w:pStyle w:val="BodyText"/>
        <w:rPr>
          <w:i/>
        </w:rPr>
      </w:pPr>
    </w:p>
    <w:p>
      <w:pPr>
        <w:spacing w:line="240" w:lineRule="auto" w:before="0"/>
        <w:ind w:left="475" w:right="734" w:firstLine="0"/>
        <w:jc w:val="both"/>
        <w:rPr>
          <w:i/>
          <w:sz w:val="24"/>
        </w:rPr>
      </w:pPr>
      <w:r>
        <w:rPr>
          <w:i/>
          <w:color w:val="231F20"/>
          <w:sz w:val="24"/>
        </w:rPr>
        <w:t>Three members of an eight-member state</w:t>
      </w:r>
      <w:r>
        <w:rPr>
          <w:i/>
          <w:color w:val="231F20"/>
          <w:sz w:val="24"/>
        </w:rPr>
        <w:t> licensing</w:t>
      </w:r>
      <w:r>
        <w:rPr>
          <w:i/>
          <w:color w:val="231F20"/>
          <w:spacing w:val="-2"/>
          <w:sz w:val="24"/>
        </w:rPr>
        <w:t> </w:t>
      </w:r>
      <w:r>
        <w:rPr>
          <w:i/>
          <w:color w:val="231F20"/>
          <w:sz w:val="24"/>
        </w:rPr>
        <w:t>board</w:t>
      </w:r>
      <w:r>
        <w:rPr>
          <w:i/>
          <w:color w:val="231F20"/>
          <w:spacing w:val="-2"/>
          <w:sz w:val="24"/>
        </w:rPr>
        <w:t> </w:t>
      </w:r>
      <w:r>
        <w:rPr>
          <w:i/>
          <w:color w:val="231F20"/>
          <w:sz w:val="24"/>
        </w:rPr>
        <w:t>are</w:t>
      </w:r>
      <w:r>
        <w:rPr>
          <w:i/>
          <w:color w:val="231F20"/>
          <w:spacing w:val="-3"/>
          <w:sz w:val="24"/>
        </w:rPr>
        <w:t> </w:t>
      </w:r>
      <w:r>
        <w:rPr>
          <w:i/>
          <w:color w:val="231F20"/>
          <w:sz w:val="24"/>
        </w:rPr>
        <w:t>appointed</w:t>
      </w:r>
      <w:r>
        <w:rPr>
          <w:i/>
          <w:color w:val="231F20"/>
          <w:spacing w:val="-2"/>
          <w:sz w:val="24"/>
        </w:rPr>
        <w:t> </w:t>
      </w:r>
      <w:r>
        <w:rPr>
          <w:i/>
          <w:color w:val="231F20"/>
          <w:sz w:val="24"/>
        </w:rPr>
        <w:t>by</w:t>
      </w:r>
      <w:r>
        <w:rPr>
          <w:i/>
          <w:color w:val="231F20"/>
          <w:spacing w:val="-3"/>
          <w:sz w:val="24"/>
        </w:rPr>
        <w:t> </w:t>
      </w:r>
      <w:r>
        <w:rPr>
          <w:i/>
          <w:color w:val="231F20"/>
          <w:sz w:val="24"/>
        </w:rPr>
        <w:t>the</w:t>
      </w:r>
      <w:r>
        <w:rPr>
          <w:i/>
          <w:color w:val="231F20"/>
          <w:spacing w:val="-3"/>
          <w:sz w:val="24"/>
        </w:rPr>
        <w:t> </w:t>
      </w:r>
      <w:r>
        <w:rPr>
          <w:i/>
          <w:color w:val="231F20"/>
          <w:sz w:val="24"/>
        </w:rPr>
        <w:t>chairman as a committee to decide on a final budget.</w:t>
      </w:r>
      <w:r>
        <w:rPr>
          <w:i/>
          <w:color w:val="231F20"/>
          <w:spacing w:val="80"/>
          <w:sz w:val="24"/>
        </w:rPr>
        <w:t> </w:t>
      </w:r>
      <w:r>
        <w:rPr>
          <w:i/>
          <w:color w:val="231F20"/>
          <w:sz w:val="24"/>
        </w:rPr>
        <w:t>The committee is not given specific budgetary instructions by the board and the committee members use their discretion regarding the specific allocations in the budget. Since the committee</w:t>
      </w:r>
      <w:r>
        <w:rPr>
          <w:i/>
          <w:color w:val="231F20"/>
          <w:spacing w:val="-5"/>
          <w:sz w:val="24"/>
        </w:rPr>
        <w:t> </w:t>
      </w:r>
      <w:r>
        <w:rPr>
          <w:i/>
          <w:color w:val="231F20"/>
          <w:sz w:val="24"/>
        </w:rPr>
        <w:t>independently</w:t>
      </w:r>
      <w:r>
        <w:rPr>
          <w:i/>
          <w:color w:val="231F20"/>
          <w:spacing w:val="-3"/>
          <w:sz w:val="24"/>
        </w:rPr>
        <w:t> </w:t>
      </w:r>
      <w:r>
        <w:rPr>
          <w:i/>
          <w:color w:val="231F20"/>
          <w:sz w:val="24"/>
        </w:rPr>
        <w:t>develops</w:t>
      </w:r>
      <w:r>
        <w:rPr>
          <w:i/>
          <w:color w:val="231F20"/>
          <w:spacing w:val="-4"/>
          <w:sz w:val="24"/>
        </w:rPr>
        <w:t> </w:t>
      </w:r>
      <w:r>
        <w:rPr>
          <w:i/>
          <w:color w:val="231F20"/>
          <w:sz w:val="24"/>
        </w:rPr>
        <w:t>a</w:t>
      </w:r>
      <w:r>
        <w:rPr>
          <w:i/>
          <w:color w:val="231F20"/>
          <w:spacing w:val="-4"/>
          <w:sz w:val="24"/>
        </w:rPr>
        <w:t> </w:t>
      </w:r>
      <w:r>
        <w:rPr>
          <w:i/>
          <w:color w:val="231F20"/>
          <w:sz w:val="24"/>
        </w:rPr>
        <w:t>budget</w:t>
      </w:r>
      <w:r>
        <w:rPr>
          <w:i/>
          <w:color w:val="231F20"/>
          <w:spacing w:val="-4"/>
          <w:sz w:val="24"/>
        </w:rPr>
        <w:t> </w:t>
      </w:r>
      <w:r>
        <w:rPr>
          <w:i/>
          <w:color w:val="231F20"/>
          <w:sz w:val="24"/>
        </w:rPr>
        <w:t>for the board, the budget discussions conducted and decisions made by the committee are meetings of a policymaking body subject to the Act’s requirements.</w:t>
      </w:r>
    </w:p>
    <w:p>
      <w:pPr>
        <w:pStyle w:val="BodyText"/>
        <w:spacing w:before="9"/>
        <w:rPr>
          <w:i/>
          <w:sz w:val="23"/>
        </w:rPr>
      </w:pPr>
    </w:p>
    <w:p>
      <w:pPr>
        <w:spacing w:before="0"/>
        <w:ind w:left="475" w:right="0" w:firstLine="0"/>
        <w:jc w:val="both"/>
        <w:rPr>
          <w:i/>
          <w:sz w:val="24"/>
        </w:rPr>
      </w:pPr>
      <w:bookmarkStart w:name="Example 9:" w:id="43"/>
      <w:bookmarkEnd w:id="4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w:t>
      </w:r>
    </w:p>
    <w:p>
      <w:pPr>
        <w:pStyle w:val="BodyText"/>
        <w:rPr>
          <w:i/>
        </w:rPr>
      </w:pPr>
    </w:p>
    <w:p>
      <w:pPr>
        <w:spacing w:before="0"/>
        <w:ind w:left="475" w:right="734" w:firstLine="0"/>
        <w:jc w:val="both"/>
        <w:rPr>
          <w:i/>
          <w:sz w:val="24"/>
        </w:rPr>
      </w:pPr>
      <w:r>
        <w:rPr>
          <w:i/>
          <w:color w:val="231F20"/>
          <w:sz w:val="24"/>
        </w:rPr>
        <w:t>The Public Regulation Commission is a full-</w:t>
      </w:r>
      <w:r>
        <w:rPr>
          <w:i/>
          <w:color w:val="231F20"/>
          <w:sz w:val="24"/>
        </w:rPr>
        <w:t> time</w:t>
      </w:r>
      <w:r>
        <w:rPr>
          <w:i/>
          <w:color w:val="231F20"/>
          <w:spacing w:val="-5"/>
          <w:sz w:val="24"/>
        </w:rPr>
        <w:t> </w:t>
      </w:r>
      <w:r>
        <w:rPr>
          <w:i/>
          <w:color w:val="231F20"/>
          <w:sz w:val="24"/>
        </w:rPr>
        <w:t>salaried</w:t>
      </w:r>
      <w:r>
        <w:rPr>
          <w:i/>
          <w:color w:val="231F20"/>
          <w:spacing w:val="-4"/>
          <w:sz w:val="24"/>
        </w:rPr>
        <w:t> </w:t>
      </w:r>
      <w:r>
        <w:rPr>
          <w:i/>
          <w:color w:val="231F20"/>
          <w:sz w:val="24"/>
        </w:rPr>
        <w:t>commission</w:t>
      </w:r>
      <w:r>
        <w:rPr>
          <w:i/>
          <w:color w:val="231F20"/>
          <w:spacing w:val="-4"/>
          <w:sz w:val="24"/>
        </w:rPr>
        <w:t> </w:t>
      </w:r>
      <w:r>
        <w:rPr>
          <w:i/>
          <w:color w:val="231F20"/>
          <w:sz w:val="24"/>
        </w:rPr>
        <w:t>regularly</w:t>
      </w:r>
      <w:r>
        <w:rPr>
          <w:i/>
          <w:color w:val="231F20"/>
          <w:spacing w:val="-5"/>
          <w:sz w:val="24"/>
        </w:rPr>
        <w:t> </w:t>
      </w:r>
      <w:r>
        <w:rPr>
          <w:i/>
          <w:color w:val="231F20"/>
          <w:sz w:val="24"/>
        </w:rPr>
        <w:t>engaged</w:t>
      </w:r>
      <w:r>
        <w:rPr>
          <w:i/>
          <w:color w:val="231F20"/>
          <w:spacing w:val="-4"/>
          <w:sz w:val="24"/>
        </w:rPr>
        <w:t> </w:t>
      </w:r>
      <w:r>
        <w:rPr>
          <w:i/>
          <w:color w:val="231F20"/>
          <w:sz w:val="24"/>
        </w:rPr>
        <w:t>in the conduct of public business, i.e., utility rate regulation.</w:t>
      </w:r>
      <w:r>
        <w:rPr>
          <w:i/>
          <w:color w:val="231F20"/>
          <w:spacing w:val="68"/>
          <w:sz w:val="24"/>
        </w:rPr>
        <w:t>  </w:t>
      </w:r>
      <w:r>
        <w:rPr>
          <w:i/>
          <w:color w:val="231F20"/>
          <w:sz w:val="24"/>
        </w:rPr>
        <w:t>Because</w:t>
      </w:r>
      <w:r>
        <w:rPr>
          <w:i/>
          <w:color w:val="231F20"/>
          <w:spacing w:val="68"/>
          <w:sz w:val="24"/>
        </w:rPr>
        <w:t>  </w:t>
      </w:r>
      <w:r>
        <w:rPr>
          <w:i/>
          <w:color w:val="231F20"/>
          <w:sz w:val="24"/>
        </w:rPr>
        <w:t>the</w:t>
      </w:r>
      <w:r>
        <w:rPr>
          <w:i/>
          <w:color w:val="231F20"/>
          <w:spacing w:val="68"/>
          <w:sz w:val="24"/>
        </w:rPr>
        <w:t>  </w:t>
      </w:r>
      <w:r>
        <w:rPr>
          <w:i/>
          <w:color w:val="231F20"/>
          <w:sz w:val="24"/>
        </w:rPr>
        <w:t>Commission</w:t>
      </w:r>
      <w:r>
        <w:rPr>
          <w:i/>
          <w:color w:val="231F20"/>
          <w:spacing w:val="68"/>
          <w:sz w:val="24"/>
        </w:rPr>
        <w:t>  </w:t>
      </w:r>
      <w:r>
        <w:rPr>
          <w:i/>
          <w:color w:val="231F20"/>
          <w:spacing w:val="-5"/>
          <w:sz w:val="24"/>
        </w:rPr>
        <w:t>is</w:t>
      </w:r>
    </w:p>
    <w:p>
      <w:pPr>
        <w:spacing w:after="0"/>
        <w:jc w:val="both"/>
        <w:rPr>
          <w:sz w:val="24"/>
        </w:rPr>
        <w:sectPr>
          <w:type w:val="continuous"/>
          <w:pgSz w:w="12240" w:h="15840"/>
          <w:pgMar w:header="660" w:footer="484" w:top="480" w:bottom="280" w:left="360" w:right="240"/>
          <w:cols w:num="2" w:equalWidth="0">
            <w:col w:w="5062" w:space="820"/>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sz w:val="24"/>
        </w:rPr>
      </w:pPr>
      <w:r>
        <w:rPr>
          <w:i/>
          <w:color w:val="231F20"/>
          <w:sz w:val="24"/>
        </w:rPr>
        <w:t>authorized to take final action and formulate</w:t>
      </w:r>
      <w:r>
        <w:rPr>
          <w:i/>
          <w:color w:val="231F20"/>
          <w:sz w:val="24"/>
        </w:rPr>
        <w:t> policy, any meeting of a quorum of </w:t>
      </w:r>
      <w:r>
        <w:rPr>
          <w:i/>
          <w:color w:val="231F20"/>
          <w:sz w:val="24"/>
        </w:rPr>
        <w:t>the members</w:t>
      </w:r>
      <w:r>
        <w:rPr>
          <w:i/>
          <w:color w:val="231F20"/>
          <w:spacing w:val="-6"/>
          <w:sz w:val="24"/>
        </w:rPr>
        <w:t> </w:t>
      </w:r>
      <w:r>
        <w:rPr>
          <w:i/>
          <w:color w:val="231F20"/>
          <w:sz w:val="24"/>
        </w:rPr>
        <w:t>at</w:t>
      </w:r>
      <w:r>
        <w:rPr>
          <w:i/>
          <w:color w:val="231F20"/>
          <w:spacing w:val="-6"/>
          <w:sz w:val="24"/>
        </w:rPr>
        <w:t> </w:t>
      </w:r>
      <w:r>
        <w:rPr>
          <w:i/>
          <w:color w:val="231F20"/>
          <w:sz w:val="24"/>
        </w:rPr>
        <w:t>which</w:t>
      </w:r>
      <w:r>
        <w:rPr>
          <w:i/>
          <w:color w:val="231F20"/>
          <w:spacing w:val="-6"/>
          <w:sz w:val="24"/>
        </w:rPr>
        <w:t> </w:t>
      </w:r>
      <w:r>
        <w:rPr>
          <w:i/>
          <w:color w:val="231F20"/>
          <w:sz w:val="24"/>
        </w:rPr>
        <w:t>public</w:t>
      </w:r>
      <w:r>
        <w:rPr>
          <w:i/>
          <w:color w:val="231F20"/>
          <w:spacing w:val="-5"/>
          <w:sz w:val="24"/>
        </w:rPr>
        <w:t> </w:t>
      </w:r>
      <w:r>
        <w:rPr>
          <w:i/>
          <w:color w:val="231F20"/>
          <w:sz w:val="24"/>
        </w:rPr>
        <w:t>business</w:t>
      </w:r>
      <w:r>
        <w:rPr>
          <w:i/>
          <w:color w:val="231F20"/>
          <w:spacing w:val="-6"/>
          <w:sz w:val="24"/>
        </w:rPr>
        <w:t> </w:t>
      </w:r>
      <w:r>
        <w:rPr>
          <w:i/>
          <w:color w:val="231F20"/>
          <w:sz w:val="24"/>
        </w:rPr>
        <w:t>is</w:t>
      </w:r>
      <w:r>
        <w:rPr>
          <w:i/>
          <w:color w:val="231F20"/>
          <w:spacing w:val="-6"/>
          <w:sz w:val="24"/>
        </w:rPr>
        <w:t> </w:t>
      </w:r>
      <w:r>
        <w:rPr>
          <w:i/>
          <w:color w:val="231F20"/>
          <w:sz w:val="24"/>
        </w:rPr>
        <w:t>discussed, even where no action is taken or policy actually formulated, is subject to the</w:t>
      </w:r>
      <w:r>
        <w:rPr>
          <w:i/>
          <w:color w:val="231F20"/>
          <w:spacing w:val="40"/>
          <w:sz w:val="24"/>
        </w:rPr>
        <w:t> </w:t>
      </w:r>
      <w:r>
        <w:rPr>
          <w:i/>
          <w:color w:val="231F20"/>
          <w:sz w:val="24"/>
        </w:rPr>
        <w:t>provisions of the Act</w:t>
      </w:r>
      <w:r>
        <w:rPr>
          <w:color w:val="231F20"/>
          <w:sz w:val="24"/>
        </w:rPr>
        <w:t>.</w:t>
      </w:r>
    </w:p>
    <w:p>
      <w:pPr>
        <w:pStyle w:val="BodyText"/>
      </w:pPr>
    </w:p>
    <w:p>
      <w:pPr>
        <w:spacing w:before="0"/>
        <w:ind w:left="475" w:right="0" w:firstLine="0"/>
        <w:jc w:val="both"/>
        <w:rPr>
          <w:i/>
          <w:sz w:val="24"/>
        </w:rPr>
      </w:pPr>
      <w:bookmarkStart w:name="Example 10:" w:id="44"/>
      <w:bookmarkEnd w:id="4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10:</w:t>
      </w:r>
    </w:p>
    <w:p>
      <w:pPr>
        <w:pStyle w:val="BodyText"/>
        <w:rPr>
          <w:i/>
        </w:rPr>
      </w:pPr>
    </w:p>
    <w:p>
      <w:pPr>
        <w:spacing w:before="0"/>
        <w:ind w:left="475" w:right="38" w:firstLine="0"/>
        <w:jc w:val="both"/>
        <w:rPr>
          <w:i/>
          <w:sz w:val="24"/>
        </w:rPr>
      </w:pPr>
      <w:r>
        <w:rPr>
          <w:i/>
          <w:color w:val="231F20"/>
          <w:sz w:val="24"/>
        </w:rPr>
        <w:t>A private non-profit health services</w:t>
      </w:r>
      <w:r>
        <w:rPr>
          <w:i/>
          <w:color w:val="231F20"/>
          <w:sz w:val="24"/>
        </w:rPr>
        <w:t> corporation receives state and federal funding for its program. Unless a specific contractual provision or a statutory mandate independent of the</w:t>
      </w:r>
      <w:r>
        <w:rPr>
          <w:i/>
          <w:color w:val="231F20"/>
          <w:spacing w:val="-1"/>
          <w:sz w:val="24"/>
        </w:rPr>
        <w:t> </w:t>
      </w:r>
      <w:r>
        <w:rPr>
          <w:i/>
          <w:color w:val="231F20"/>
          <w:sz w:val="24"/>
        </w:rPr>
        <w:t>Act imposes the</w:t>
      </w:r>
      <w:r>
        <w:rPr>
          <w:i/>
          <w:color w:val="231F20"/>
          <w:spacing w:val="-1"/>
          <w:sz w:val="24"/>
        </w:rPr>
        <w:t> </w:t>
      </w:r>
      <w:r>
        <w:rPr>
          <w:i/>
          <w:color w:val="231F20"/>
          <w:sz w:val="24"/>
        </w:rPr>
        <w:t>duty</w:t>
      </w:r>
      <w:r>
        <w:rPr>
          <w:i/>
          <w:color w:val="231F20"/>
          <w:spacing w:val="-1"/>
          <w:sz w:val="24"/>
        </w:rPr>
        <w:t> </w:t>
      </w:r>
      <w:r>
        <w:rPr>
          <w:i/>
          <w:color w:val="231F20"/>
          <w:sz w:val="24"/>
        </w:rPr>
        <w:t>of open meetings, a meeting of a quorum of the board of directors of the corporation is not subject to the provisions of the Act because the board of directors is not a board of the state, county, district or other political subdivision.</w:t>
      </w:r>
    </w:p>
    <w:p>
      <w:pPr>
        <w:pStyle w:val="BodyText"/>
        <w:rPr>
          <w:i/>
        </w:rPr>
      </w:pPr>
    </w:p>
    <w:p>
      <w:pPr>
        <w:spacing w:before="0"/>
        <w:ind w:left="475" w:right="0" w:firstLine="0"/>
        <w:jc w:val="both"/>
        <w:rPr>
          <w:i/>
          <w:sz w:val="24"/>
        </w:rPr>
      </w:pPr>
      <w:bookmarkStart w:name="Example 11:" w:id="45"/>
      <w:bookmarkEnd w:id="4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11:</w:t>
      </w:r>
    </w:p>
    <w:p>
      <w:pPr>
        <w:pStyle w:val="BodyText"/>
        <w:rPr>
          <w:i/>
        </w:rPr>
      </w:pPr>
    </w:p>
    <w:p>
      <w:pPr>
        <w:spacing w:before="0"/>
        <w:ind w:left="475" w:right="40" w:firstLine="0"/>
        <w:jc w:val="both"/>
        <w:rPr>
          <w:i/>
          <w:sz w:val="24"/>
        </w:rPr>
      </w:pPr>
      <w:r>
        <w:rPr>
          <w:i/>
          <w:color w:val="231F20"/>
          <w:sz w:val="24"/>
        </w:rPr>
        <w:t>A cabinet secretary regularly meets with his</w:t>
      </w:r>
      <w:r>
        <w:rPr>
          <w:i/>
          <w:color w:val="231F20"/>
          <w:sz w:val="24"/>
        </w:rPr>
        <w:t> key staff on Monday mornings to go over department affairs. From time to time, he may also invite interested legislators and persons from the private sector to advise him and his staff on particular matters. The decision- making authority of the department is nevertheless vested in the secretary, and the assembled Monday group, </w:t>
      </w:r>
      <w:r>
        <w:rPr>
          <w:i/>
          <w:color w:val="231F20"/>
          <w:sz w:val="24"/>
        </w:rPr>
        <w:t>although</w:t>
      </w:r>
      <w:r>
        <w:rPr>
          <w:i/>
          <w:color w:val="231F20"/>
          <w:spacing w:val="40"/>
          <w:sz w:val="24"/>
        </w:rPr>
        <w:t> </w:t>
      </w:r>
      <w:r>
        <w:rPr>
          <w:i/>
          <w:color w:val="231F20"/>
          <w:sz w:val="24"/>
        </w:rPr>
        <w:t>influential, remains advisory. These meetings, therefore, are not subject to the Act.</w:t>
      </w:r>
    </w:p>
    <w:p>
      <w:pPr>
        <w:pStyle w:val="BodyText"/>
        <w:rPr>
          <w:i/>
        </w:rPr>
      </w:pPr>
    </w:p>
    <w:p>
      <w:pPr>
        <w:spacing w:before="0"/>
        <w:ind w:left="475" w:right="0" w:firstLine="0"/>
        <w:jc w:val="both"/>
        <w:rPr>
          <w:i/>
          <w:sz w:val="24"/>
        </w:rPr>
      </w:pPr>
      <w:bookmarkStart w:name="Example 12:" w:id="46"/>
      <w:bookmarkEnd w:id="4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12:</w:t>
      </w:r>
    </w:p>
    <w:p>
      <w:pPr>
        <w:pStyle w:val="BodyText"/>
        <w:spacing w:before="9"/>
        <w:rPr>
          <w:i/>
          <w:sz w:val="23"/>
        </w:rPr>
      </w:pPr>
    </w:p>
    <w:p>
      <w:pPr>
        <w:spacing w:before="0"/>
        <w:ind w:left="475" w:right="38" w:firstLine="0"/>
        <w:jc w:val="both"/>
        <w:rPr>
          <w:i/>
          <w:sz w:val="24"/>
        </w:rPr>
      </w:pPr>
      <w:r>
        <w:rPr>
          <w:i/>
          <w:color w:val="231F20"/>
          <w:sz w:val="24"/>
        </w:rPr>
        <w:t>A board of county commissioners is</w:t>
      </w:r>
      <w:r>
        <w:rPr>
          <w:i/>
          <w:color w:val="231F20"/>
          <w:spacing w:val="40"/>
          <w:sz w:val="24"/>
        </w:rPr>
        <w:t> </w:t>
      </w:r>
      <w:r>
        <w:rPr>
          <w:i/>
          <w:color w:val="231F20"/>
          <w:sz w:val="24"/>
        </w:rPr>
        <w:t>specifically required by statute to issue a particular order upon the occurrence of</w:t>
      </w:r>
      <w:r>
        <w:rPr>
          <w:i/>
          <w:color w:val="231F20"/>
          <w:spacing w:val="40"/>
          <w:sz w:val="24"/>
        </w:rPr>
        <w:t> </w:t>
      </w:r>
      <w:r>
        <w:rPr>
          <w:i/>
          <w:color w:val="231F20"/>
          <w:sz w:val="24"/>
        </w:rPr>
        <w:t>certain conditions. The duty to issue the order is purely ministerial; i.e., the board may not exercise any discretion or independent judgment. No decision or deliberation of the board is necessary or permitted. The board, at a meeting properly convened according to the Act, may authorize one member or an administrator to issue the order when the requisite conditions occur, and the official action</w:t>
      </w:r>
      <w:r>
        <w:rPr>
          <w:i/>
          <w:color w:val="231F20"/>
          <w:spacing w:val="57"/>
          <w:w w:val="150"/>
          <w:sz w:val="24"/>
        </w:rPr>
        <w:t> </w:t>
      </w:r>
      <w:r>
        <w:rPr>
          <w:i/>
          <w:color w:val="231F20"/>
          <w:sz w:val="24"/>
        </w:rPr>
        <w:t>may</w:t>
      </w:r>
      <w:r>
        <w:rPr>
          <w:i/>
          <w:color w:val="231F20"/>
          <w:spacing w:val="56"/>
          <w:w w:val="150"/>
          <w:sz w:val="24"/>
        </w:rPr>
        <w:t> </w:t>
      </w:r>
      <w:r>
        <w:rPr>
          <w:i/>
          <w:color w:val="231F20"/>
          <w:sz w:val="24"/>
        </w:rPr>
        <w:t>be</w:t>
      </w:r>
      <w:r>
        <w:rPr>
          <w:i/>
          <w:color w:val="231F20"/>
          <w:spacing w:val="56"/>
          <w:w w:val="150"/>
          <w:sz w:val="24"/>
        </w:rPr>
        <w:t> </w:t>
      </w:r>
      <w:r>
        <w:rPr>
          <w:i/>
          <w:color w:val="231F20"/>
          <w:sz w:val="24"/>
        </w:rPr>
        <w:t>taken</w:t>
      </w:r>
      <w:r>
        <w:rPr>
          <w:i/>
          <w:color w:val="231F20"/>
          <w:spacing w:val="60"/>
          <w:w w:val="150"/>
          <w:sz w:val="24"/>
        </w:rPr>
        <w:t> </w:t>
      </w:r>
      <w:r>
        <w:rPr>
          <w:i/>
          <w:color w:val="231F20"/>
          <w:sz w:val="24"/>
        </w:rPr>
        <w:t>without</w:t>
      </w:r>
      <w:r>
        <w:rPr>
          <w:i/>
          <w:color w:val="231F20"/>
          <w:spacing w:val="58"/>
          <w:w w:val="150"/>
          <w:sz w:val="24"/>
        </w:rPr>
        <w:t> </w:t>
      </w:r>
      <w:r>
        <w:rPr>
          <w:i/>
          <w:color w:val="231F20"/>
          <w:sz w:val="24"/>
        </w:rPr>
        <w:t>a</w:t>
      </w:r>
      <w:r>
        <w:rPr>
          <w:i/>
          <w:color w:val="231F20"/>
          <w:spacing w:val="57"/>
          <w:w w:val="150"/>
          <w:sz w:val="24"/>
        </w:rPr>
        <w:t> </w:t>
      </w:r>
      <w:r>
        <w:rPr>
          <w:i/>
          <w:color w:val="231F20"/>
          <w:spacing w:val="-2"/>
          <w:sz w:val="24"/>
        </w:rPr>
        <w:t>subsequent</w:t>
      </w:r>
    </w:p>
    <w:p>
      <w:pPr>
        <w:spacing w:before="90"/>
        <w:ind w:left="475" w:right="736" w:firstLine="0"/>
        <w:jc w:val="both"/>
        <w:rPr>
          <w:i/>
          <w:sz w:val="24"/>
        </w:rPr>
      </w:pPr>
      <w:r>
        <w:rPr/>
        <w:br w:type="column"/>
      </w:r>
      <w:r>
        <w:rPr>
          <w:i/>
          <w:color w:val="231F20"/>
          <w:sz w:val="24"/>
        </w:rPr>
        <w:t>meeting that would otherwise be subject to the</w:t>
      </w:r>
      <w:r>
        <w:rPr>
          <w:i/>
          <w:color w:val="231F20"/>
          <w:sz w:val="24"/>
        </w:rPr>
        <w:t> </w:t>
      </w:r>
      <w:r>
        <w:rPr>
          <w:i/>
          <w:color w:val="231F20"/>
          <w:spacing w:val="-4"/>
          <w:sz w:val="24"/>
        </w:rPr>
        <w:t>Act.</w:t>
      </w:r>
    </w:p>
    <w:p>
      <w:pPr>
        <w:pStyle w:val="BodyText"/>
        <w:spacing w:before="11"/>
        <w:rPr>
          <w:i/>
          <w:sz w:val="23"/>
        </w:rPr>
      </w:pPr>
    </w:p>
    <w:p>
      <w:pPr>
        <w:spacing w:before="0"/>
        <w:ind w:left="475" w:right="0" w:firstLine="0"/>
        <w:jc w:val="both"/>
        <w:rPr>
          <w:i/>
          <w:sz w:val="24"/>
        </w:rPr>
      </w:pPr>
      <w:bookmarkStart w:name="Example 13:" w:id="47"/>
      <w:bookmarkEnd w:id="4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13:</w:t>
      </w:r>
    </w:p>
    <w:p>
      <w:pPr>
        <w:pStyle w:val="BodyText"/>
        <w:rPr>
          <w:i/>
        </w:rPr>
      </w:pPr>
    </w:p>
    <w:p>
      <w:pPr>
        <w:spacing w:before="0"/>
        <w:ind w:left="475" w:right="735" w:firstLine="0"/>
        <w:jc w:val="both"/>
        <w:rPr>
          <w:i/>
          <w:sz w:val="24"/>
        </w:rPr>
      </w:pPr>
      <w:r>
        <w:rPr>
          <w:i/>
          <w:color w:val="231F20"/>
          <w:sz w:val="24"/>
        </w:rPr>
        <w:t>Pursuant to its constitution, the board </w:t>
      </w:r>
      <w:r>
        <w:rPr>
          <w:i/>
          <w:color w:val="231F20"/>
          <w:sz w:val="24"/>
        </w:rPr>
        <w:t>of</w:t>
      </w:r>
      <w:r>
        <w:rPr>
          <w:i/>
          <w:color w:val="231F20"/>
          <w:sz w:val="24"/>
        </w:rPr>
        <w:t> regents of a state university delegates its policymaking authority to decide post- graduate curricula to the faculty senate of the respective post-graduate departments. Meetings of the faculty senate for the purpose of exercising that authority are subject to the </w:t>
      </w:r>
      <w:r>
        <w:rPr>
          <w:i/>
          <w:color w:val="231F20"/>
          <w:spacing w:val="-4"/>
          <w:sz w:val="24"/>
        </w:rPr>
        <w:t>Act.</w:t>
      </w:r>
    </w:p>
    <w:p>
      <w:pPr>
        <w:pStyle w:val="BodyText"/>
        <w:rPr>
          <w:i/>
        </w:rPr>
      </w:pPr>
    </w:p>
    <w:p>
      <w:pPr>
        <w:spacing w:before="0"/>
        <w:ind w:left="475" w:right="0" w:firstLine="0"/>
        <w:jc w:val="both"/>
        <w:rPr>
          <w:i/>
          <w:sz w:val="24"/>
        </w:rPr>
      </w:pPr>
      <w:bookmarkStart w:name="Example 14:" w:id="48"/>
      <w:bookmarkEnd w:id="4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14:</w:t>
      </w:r>
    </w:p>
    <w:p>
      <w:pPr>
        <w:pStyle w:val="BodyText"/>
        <w:rPr>
          <w:i/>
        </w:rPr>
      </w:pPr>
    </w:p>
    <w:p>
      <w:pPr>
        <w:spacing w:before="0"/>
        <w:ind w:left="475" w:right="735" w:firstLine="0"/>
        <w:jc w:val="both"/>
        <w:rPr>
          <w:i/>
          <w:sz w:val="24"/>
        </w:rPr>
      </w:pPr>
      <w:r>
        <w:rPr>
          <w:i/>
          <w:color w:val="231F20"/>
          <w:sz w:val="24"/>
        </w:rPr>
        <w:t>A five-member city council creates an</w:t>
      </w:r>
      <w:r>
        <w:rPr>
          <w:i/>
          <w:color w:val="231F20"/>
          <w:sz w:val="24"/>
        </w:rPr>
        <w:t> “advisory committee” composed of two city council members and other city officials to evaluate bidders on city contracts and to recommend a limited number of the bidders to the city council for final selection. By delegating authority to the committee to narrow the</w:t>
      </w:r>
      <w:r>
        <w:rPr>
          <w:i/>
          <w:color w:val="231F20"/>
          <w:spacing w:val="-1"/>
          <w:sz w:val="24"/>
        </w:rPr>
        <w:t> </w:t>
      </w:r>
      <w:r>
        <w:rPr>
          <w:i/>
          <w:color w:val="231F20"/>
          <w:sz w:val="24"/>
        </w:rPr>
        <w:t>choices of potential contractors for the council’s consideration, the city council vests the committee with decision-making authority and subjects its meetings to the Act’s </w:t>
      </w:r>
      <w:r>
        <w:rPr>
          <w:i/>
          <w:color w:val="231F20"/>
          <w:spacing w:val="-2"/>
          <w:sz w:val="24"/>
        </w:rPr>
        <w:t>requirements.</w:t>
      </w:r>
    </w:p>
    <w:p>
      <w:pPr>
        <w:pStyle w:val="BodyText"/>
        <w:spacing w:before="1"/>
        <w:rPr>
          <w:i/>
        </w:rPr>
      </w:pPr>
    </w:p>
    <w:p>
      <w:pPr>
        <w:spacing w:before="0"/>
        <w:ind w:left="475" w:right="0" w:firstLine="0"/>
        <w:jc w:val="both"/>
        <w:rPr>
          <w:i/>
          <w:sz w:val="24"/>
        </w:rPr>
      </w:pPr>
      <w:bookmarkStart w:name="Example 15:" w:id="49"/>
      <w:bookmarkEnd w:id="49"/>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15:</w:t>
      </w:r>
    </w:p>
    <w:p>
      <w:pPr>
        <w:pStyle w:val="BodyText"/>
        <w:rPr>
          <w:i/>
        </w:rPr>
      </w:pPr>
    </w:p>
    <w:p>
      <w:pPr>
        <w:spacing w:line="240" w:lineRule="auto" w:before="0"/>
        <w:ind w:left="475" w:right="734" w:firstLine="0"/>
        <w:jc w:val="both"/>
        <w:rPr>
          <w:i/>
          <w:sz w:val="24"/>
        </w:rPr>
      </w:pPr>
      <w:r>
        <w:rPr>
          <w:i/>
          <w:color w:val="231F20"/>
          <w:sz w:val="24"/>
        </w:rPr>
        <w:t>A state commission establishes a search</w:t>
      </w:r>
      <w:r>
        <w:rPr>
          <w:i/>
          <w:color w:val="231F20"/>
          <w:sz w:val="24"/>
        </w:rPr>
        <w:t> committee composed of experts in the field regulated by the commission to review and evaluate applications for positions on the commission’s staff. A provision in the commission’s by-laws provides that the search committee’s</w:t>
      </w:r>
      <w:r>
        <w:rPr>
          <w:i/>
          <w:color w:val="231F20"/>
          <w:spacing w:val="-1"/>
          <w:sz w:val="24"/>
        </w:rPr>
        <w:t> </w:t>
      </w:r>
      <w:r>
        <w:rPr>
          <w:i/>
          <w:color w:val="231F20"/>
          <w:sz w:val="24"/>
        </w:rPr>
        <w:t>final</w:t>
      </w:r>
      <w:r>
        <w:rPr>
          <w:i/>
          <w:color w:val="231F20"/>
          <w:spacing w:val="-1"/>
          <w:sz w:val="24"/>
        </w:rPr>
        <w:t> </w:t>
      </w:r>
      <w:r>
        <w:rPr>
          <w:i/>
          <w:color w:val="231F20"/>
          <w:sz w:val="24"/>
        </w:rPr>
        <w:t>recommendation</w:t>
      </w:r>
      <w:r>
        <w:rPr>
          <w:i/>
          <w:color w:val="231F20"/>
          <w:spacing w:val="-1"/>
          <w:sz w:val="24"/>
        </w:rPr>
        <w:t> </w:t>
      </w:r>
      <w:r>
        <w:rPr>
          <w:i/>
          <w:color w:val="231F20"/>
          <w:sz w:val="24"/>
        </w:rPr>
        <w:t>on</w:t>
      </w:r>
      <w:r>
        <w:rPr>
          <w:i/>
          <w:color w:val="231F20"/>
          <w:spacing w:val="-1"/>
          <w:sz w:val="24"/>
        </w:rPr>
        <w:t> </w:t>
      </w:r>
      <w:r>
        <w:rPr>
          <w:i/>
          <w:color w:val="231F20"/>
          <w:sz w:val="24"/>
        </w:rPr>
        <w:t>whom</w:t>
      </w:r>
      <w:r>
        <w:rPr>
          <w:i/>
          <w:color w:val="231F20"/>
          <w:spacing w:val="-2"/>
          <w:sz w:val="24"/>
        </w:rPr>
        <w:t> </w:t>
      </w:r>
      <w:r>
        <w:rPr>
          <w:i/>
          <w:color w:val="231F20"/>
          <w:sz w:val="24"/>
        </w:rPr>
        <w:t>to hire is binding on the commission unless the commission receives reliable information from an independent source affecting the finalist’s qualifications. Because the commission has delegated virtually all of its decision-making authority to the search committee, the committee’s meetings are subject to the Act.</w:t>
      </w:r>
    </w:p>
    <w:p>
      <w:pPr>
        <w:pStyle w:val="BodyText"/>
        <w:spacing w:before="9"/>
        <w:rPr>
          <w:i/>
          <w:sz w:val="23"/>
        </w:rPr>
      </w:pPr>
    </w:p>
    <w:p>
      <w:pPr>
        <w:spacing w:before="0"/>
        <w:ind w:left="475" w:right="737" w:firstLine="0"/>
        <w:jc w:val="both"/>
        <w:rPr>
          <w:i/>
          <w:sz w:val="24"/>
        </w:rPr>
      </w:pPr>
      <w:r>
        <w:rPr>
          <w:i/>
          <w:color w:val="231F20"/>
          <w:sz w:val="24"/>
        </w:rPr>
        <w:t>If</w:t>
      </w:r>
      <w:r>
        <w:rPr>
          <w:i/>
          <w:color w:val="231F20"/>
          <w:sz w:val="24"/>
        </w:rPr>
        <w:t> the</w:t>
      </w:r>
      <w:r>
        <w:rPr>
          <w:i/>
          <w:color w:val="231F20"/>
          <w:sz w:val="24"/>
        </w:rPr>
        <w:t> search committee’s recommendations</w:t>
      </w:r>
      <w:r>
        <w:rPr>
          <w:i/>
          <w:color w:val="231F20"/>
          <w:sz w:val="24"/>
        </w:rPr>
        <w:t> were not expressly binding on the commission, but</w:t>
      </w:r>
      <w:r>
        <w:rPr>
          <w:i/>
          <w:color w:val="231F20"/>
          <w:spacing w:val="26"/>
          <w:sz w:val="24"/>
        </w:rPr>
        <w:t>  </w:t>
      </w:r>
      <w:r>
        <w:rPr>
          <w:i/>
          <w:color w:val="231F20"/>
          <w:sz w:val="24"/>
        </w:rPr>
        <w:t>the</w:t>
      </w:r>
      <w:r>
        <w:rPr>
          <w:i/>
          <w:color w:val="231F20"/>
          <w:spacing w:val="26"/>
          <w:sz w:val="24"/>
        </w:rPr>
        <w:t>  </w:t>
      </w:r>
      <w:r>
        <w:rPr>
          <w:i/>
          <w:color w:val="231F20"/>
          <w:sz w:val="24"/>
        </w:rPr>
        <w:t>commission</w:t>
      </w:r>
      <w:r>
        <w:rPr>
          <w:i/>
          <w:color w:val="231F20"/>
          <w:spacing w:val="26"/>
          <w:sz w:val="24"/>
        </w:rPr>
        <w:t>  </w:t>
      </w:r>
      <w:r>
        <w:rPr>
          <w:i/>
          <w:color w:val="231F20"/>
          <w:sz w:val="24"/>
        </w:rPr>
        <w:t>routinely</w:t>
      </w:r>
      <w:r>
        <w:rPr>
          <w:i/>
          <w:color w:val="231F20"/>
          <w:spacing w:val="26"/>
          <w:sz w:val="24"/>
        </w:rPr>
        <w:t>  </w:t>
      </w:r>
      <w:r>
        <w:rPr>
          <w:i/>
          <w:color w:val="231F20"/>
          <w:sz w:val="24"/>
        </w:rPr>
        <w:t>adopted</w:t>
      </w:r>
      <w:r>
        <w:rPr>
          <w:i/>
          <w:color w:val="231F20"/>
          <w:spacing w:val="26"/>
          <w:sz w:val="24"/>
        </w:rPr>
        <w:t>  </w:t>
      </w:r>
      <w:r>
        <w:rPr>
          <w:i/>
          <w:color w:val="231F20"/>
          <w:spacing w:val="-5"/>
          <w:sz w:val="24"/>
        </w:rPr>
        <w:t>the</w:t>
      </w:r>
    </w:p>
    <w:p>
      <w:pPr>
        <w:spacing w:after="0"/>
        <w:jc w:val="both"/>
        <w:rPr>
          <w:sz w:val="24"/>
        </w:rPr>
        <w:sectPr>
          <w:type w:val="continuous"/>
          <w:pgSz w:w="12240" w:h="15840"/>
          <w:pgMar w:header="660" w:footer="484" w:top="480" w:bottom="280" w:left="360" w:right="240"/>
          <w:cols w:num="2" w:equalWidth="0">
            <w:col w:w="5062" w:space="820"/>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committee’s final recommendation without</w:t>
      </w:r>
      <w:r>
        <w:rPr>
          <w:i/>
          <w:color w:val="231F20"/>
          <w:sz w:val="24"/>
        </w:rPr>
        <w:t> reviewing the other applicants, the</w:t>
      </w:r>
      <w:r>
        <w:rPr>
          <w:i/>
          <w:color w:val="231F20"/>
          <w:spacing w:val="40"/>
          <w:sz w:val="24"/>
        </w:rPr>
        <w:t> </w:t>
      </w:r>
      <w:r>
        <w:rPr>
          <w:i/>
          <w:color w:val="231F20"/>
          <w:sz w:val="24"/>
        </w:rPr>
        <w:t>committee’s meetings still would be subject to the Act. Although not required to by any express provision, the commission, as a matter of practice, would be delegating to the committee its authority to select employees.</w:t>
      </w:r>
    </w:p>
    <w:p>
      <w:pPr>
        <w:pStyle w:val="BodyText"/>
        <w:rPr>
          <w:i/>
        </w:rPr>
      </w:pPr>
    </w:p>
    <w:p>
      <w:pPr>
        <w:spacing w:before="0"/>
        <w:ind w:left="475" w:right="0" w:firstLine="0"/>
        <w:jc w:val="both"/>
        <w:rPr>
          <w:i/>
          <w:sz w:val="24"/>
        </w:rPr>
      </w:pPr>
      <w:bookmarkStart w:name="Example 16:" w:id="50"/>
      <w:bookmarkEnd w:id="5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16:</w:t>
      </w:r>
    </w:p>
    <w:p>
      <w:pPr>
        <w:pStyle w:val="BodyText"/>
        <w:rPr>
          <w:i/>
        </w:rPr>
      </w:pPr>
    </w:p>
    <w:p>
      <w:pPr>
        <w:spacing w:before="0"/>
        <w:ind w:left="475" w:right="38" w:firstLine="0"/>
        <w:jc w:val="both"/>
        <w:rPr>
          <w:i/>
          <w:sz w:val="24"/>
        </w:rPr>
      </w:pPr>
      <w:r>
        <w:rPr>
          <w:i/>
          <w:color w:val="231F20"/>
          <w:sz w:val="24"/>
        </w:rPr>
        <w:t>A state board appoints a committee composed</w:t>
      </w:r>
      <w:r>
        <w:rPr>
          <w:i/>
          <w:color w:val="231F20"/>
          <w:sz w:val="24"/>
        </w:rPr>
        <w:t> of two board members (less than a quorum of the board) and several members of the public to draft proposed regulations in </w:t>
      </w:r>
      <w:r>
        <w:rPr>
          <w:i/>
          <w:color w:val="231F20"/>
          <w:sz w:val="24"/>
        </w:rPr>
        <w:t>accordance with the board’s instructions regarding the substance of the regulations. The board will review</w:t>
      </w:r>
      <w:r>
        <w:rPr>
          <w:i/>
          <w:color w:val="231F20"/>
          <w:spacing w:val="-5"/>
          <w:sz w:val="24"/>
        </w:rPr>
        <w:t> </w:t>
      </w:r>
      <w:r>
        <w:rPr>
          <w:i/>
          <w:color w:val="231F20"/>
          <w:sz w:val="24"/>
        </w:rPr>
        <w:t>the</w:t>
      </w:r>
      <w:r>
        <w:rPr>
          <w:i/>
          <w:color w:val="231F20"/>
          <w:spacing w:val="-6"/>
          <w:sz w:val="24"/>
        </w:rPr>
        <w:t> </w:t>
      </w:r>
      <w:r>
        <w:rPr>
          <w:i/>
          <w:color w:val="231F20"/>
          <w:sz w:val="24"/>
        </w:rPr>
        <w:t>proposed</w:t>
      </w:r>
      <w:r>
        <w:rPr>
          <w:i/>
          <w:color w:val="231F20"/>
          <w:spacing w:val="-5"/>
          <w:sz w:val="24"/>
        </w:rPr>
        <w:t> </w:t>
      </w:r>
      <w:r>
        <w:rPr>
          <w:i/>
          <w:color w:val="231F20"/>
          <w:sz w:val="24"/>
        </w:rPr>
        <w:t>regulations,</w:t>
      </w:r>
      <w:r>
        <w:rPr>
          <w:i/>
          <w:color w:val="231F20"/>
          <w:spacing w:val="-5"/>
          <w:sz w:val="24"/>
        </w:rPr>
        <w:t> </w:t>
      </w:r>
      <w:r>
        <w:rPr>
          <w:i/>
          <w:color w:val="231F20"/>
          <w:sz w:val="24"/>
        </w:rPr>
        <w:t>make</w:t>
      </w:r>
      <w:r>
        <w:rPr>
          <w:i/>
          <w:color w:val="231F20"/>
          <w:spacing w:val="-6"/>
          <w:sz w:val="24"/>
        </w:rPr>
        <w:t> </w:t>
      </w:r>
      <w:r>
        <w:rPr>
          <w:i/>
          <w:color w:val="231F20"/>
          <w:sz w:val="24"/>
        </w:rPr>
        <w:t>all</w:t>
      </w:r>
      <w:r>
        <w:rPr>
          <w:i/>
          <w:color w:val="231F20"/>
          <w:spacing w:val="-5"/>
          <w:sz w:val="24"/>
        </w:rPr>
        <w:t> </w:t>
      </w:r>
      <w:r>
        <w:rPr>
          <w:i/>
          <w:color w:val="231F20"/>
          <w:sz w:val="24"/>
        </w:rPr>
        <w:t>final decisions regarding the text of the regulations and determine whether to hold a public hearing on them. Provided the committee is</w:t>
      </w:r>
      <w:r>
        <w:rPr>
          <w:i/>
          <w:color w:val="231F20"/>
          <w:spacing w:val="40"/>
          <w:sz w:val="24"/>
        </w:rPr>
        <w:t> </w:t>
      </w:r>
      <w:r>
        <w:rPr>
          <w:i/>
          <w:color w:val="231F20"/>
          <w:sz w:val="24"/>
        </w:rPr>
        <w:t>not statutorily created and charged with drafting regulations for the board, meetings of the committee to draft the regulations will not be subject to the Act.</w:t>
      </w:r>
    </w:p>
    <w:p>
      <w:pPr>
        <w:pStyle w:val="BodyText"/>
        <w:rPr>
          <w:i/>
        </w:rPr>
      </w:pPr>
    </w:p>
    <w:p>
      <w:pPr>
        <w:spacing w:before="0"/>
        <w:ind w:left="475" w:right="0" w:firstLine="0"/>
        <w:jc w:val="both"/>
        <w:rPr>
          <w:i/>
          <w:sz w:val="24"/>
        </w:rPr>
      </w:pPr>
      <w:bookmarkStart w:name="Example 17:" w:id="51"/>
      <w:bookmarkEnd w:id="5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17:</w:t>
      </w:r>
    </w:p>
    <w:p>
      <w:pPr>
        <w:pStyle w:val="BodyText"/>
        <w:rPr>
          <w:i/>
        </w:rPr>
      </w:pPr>
    </w:p>
    <w:p>
      <w:pPr>
        <w:spacing w:line="240" w:lineRule="auto" w:before="0"/>
        <w:ind w:left="475" w:right="38" w:firstLine="0"/>
        <w:jc w:val="both"/>
        <w:rPr>
          <w:i/>
          <w:sz w:val="24"/>
        </w:rPr>
      </w:pPr>
      <w:r>
        <w:rPr>
          <w:i/>
          <w:color w:val="231F20"/>
          <w:sz w:val="24"/>
        </w:rPr>
        <w:t>Pursuant to statute, two incorporated villages</w:t>
      </w:r>
      <w:r>
        <w:rPr>
          <w:i/>
          <w:color w:val="231F20"/>
          <w:sz w:val="24"/>
        </w:rPr>
        <w:t> establish an intercommunity water supply association empowered to provide a supply of water to the villages’ inhabitants. The villages are the association’s only members and each village appoints three persons to serve at its pleasure as commissioners of the association. To fulfill its duties, the association is granted certain government powers, including the power</w:t>
      </w:r>
      <w:r>
        <w:rPr>
          <w:i/>
          <w:color w:val="231F20"/>
          <w:spacing w:val="-2"/>
          <w:sz w:val="24"/>
        </w:rPr>
        <w:t> </w:t>
      </w:r>
      <w:r>
        <w:rPr>
          <w:i/>
          <w:color w:val="231F20"/>
          <w:sz w:val="24"/>
        </w:rPr>
        <w:t>of</w:t>
      </w:r>
      <w:r>
        <w:rPr>
          <w:i/>
          <w:color w:val="231F20"/>
          <w:spacing w:val="-2"/>
          <w:sz w:val="24"/>
        </w:rPr>
        <w:t> </w:t>
      </w:r>
      <w:r>
        <w:rPr>
          <w:i/>
          <w:color w:val="231F20"/>
          <w:sz w:val="24"/>
        </w:rPr>
        <w:t>eminent domain.</w:t>
      </w:r>
      <w:r>
        <w:rPr>
          <w:i/>
          <w:color w:val="231F20"/>
          <w:spacing w:val="-2"/>
          <w:sz w:val="24"/>
        </w:rPr>
        <w:t> </w:t>
      </w:r>
      <w:r>
        <w:rPr>
          <w:i/>
          <w:color w:val="231F20"/>
          <w:sz w:val="24"/>
        </w:rPr>
        <w:t>Because</w:t>
      </w:r>
      <w:r>
        <w:rPr>
          <w:i/>
          <w:color w:val="231F20"/>
          <w:spacing w:val="-3"/>
          <w:sz w:val="24"/>
        </w:rPr>
        <w:t> </w:t>
      </w:r>
      <w:r>
        <w:rPr>
          <w:i/>
          <w:color w:val="231F20"/>
          <w:sz w:val="24"/>
        </w:rPr>
        <w:t>it</w:t>
      </w:r>
      <w:r>
        <w:rPr>
          <w:i/>
          <w:color w:val="231F20"/>
          <w:spacing w:val="-2"/>
          <w:sz w:val="24"/>
        </w:rPr>
        <w:t> </w:t>
      </w:r>
      <w:r>
        <w:rPr>
          <w:i/>
          <w:color w:val="231F20"/>
          <w:sz w:val="24"/>
        </w:rPr>
        <w:t>is</w:t>
      </w:r>
      <w:r>
        <w:rPr>
          <w:i/>
          <w:color w:val="231F20"/>
          <w:spacing w:val="-2"/>
          <w:sz w:val="24"/>
        </w:rPr>
        <w:t> </w:t>
      </w:r>
      <w:r>
        <w:rPr>
          <w:i/>
          <w:color w:val="231F20"/>
          <w:sz w:val="24"/>
        </w:rPr>
        <w:t>formed by public bodies and is authorized to </w:t>
      </w:r>
      <w:r>
        <w:rPr>
          <w:i/>
          <w:color w:val="231F20"/>
          <w:sz w:val="24"/>
        </w:rPr>
        <w:t>perform certain functions on behalf of those bodies, the association also is a public body subject to the </w:t>
      </w:r>
      <w:r>
        <w:rPr>
          <w:i/>
          <w:color w:val="231F20"/>
          <w:spacing w:val="-4"/>
          <w:sz w:val="24"/>
        </w:rPr>
        <w:t>Act.</w:t>
      </w:r>
    </w:p>
    <w:p>
      <w:pPr>
        <w:pStyle w:val="BodyText"/>
        <w:spacing w:before="6"/>
        <w:rPr>
          <w:i/>
          <w:sz w:val="28"/>
        </w:rPr>
      </w:pPr>
    </w:p>
    <w:p>
      <w:pPr>
        <w:pStyle w:val="Heading2"/>
        <w:numPr>
          <w:ilvl w:val="0"/>
          <w:numId w:val="6"/>
        </w:numPr>
        <w:tabs>
          <w:tab w:pos="817" w:val="left" w:leader="none"/>
        </w:tabs>
        <w:spacing w:line="240" w:lineRule="auto" w:before="0" w:after="0"/>
        <w:ind w:left="816" w:right="0" w:hanging="342"/>
        <w:jc w:val="left"/>
      </w:pPr>
      <w:bookmarkStart w:name="_TOC_250017" w:id="52"/>
      <w:bookmarkStart w:name="C. Telephone Conferences" w:id="53"/>
      <w:r>
        <w:rPr>
          <w:color w:val="231F20"/>
        </w:rPr>
        <w:t>T</w:t>
      </w:r>
      <w:r>
        <w:rPr>
          <w:color w:val="231F20"/>
        </w:rPr>
        <w:t>elephone</w:t>
      </w:r>
      <w:r>
        <w:rPr>
          <w:color w:val="231F20"/>
          <w:spacing w:val="-6"/>
        </w:rPr>
        <w:t> </w:t>
      </w:r>
      <w:bookmarkEnd w:id="52"/>
      <w:r>
        <w:rPr>
          <w:color w:val="231F20"/>
          <w:spacing w:val="-2"/>
        </w:rPr>
        <w:t>Conferences</w:t>
      </w:r>
    </w:p>
    <w:p>
      <w:pPr>
        <w:pStyle w:val="BodyText"/>
        <w:spacing w:before="10"/>
        <w:rPr>
          <w:b/>
          <w:sz w:val="23"/>
        </w:rPr>
      </w:pPr>
    </w:p>
    <w:p>
      <w:pPr>
        <w:spacing w:before="0"/>
        <w:ind w:left="475" w:right="0" w:firstLine="0"/>
        <w:jc w:val="both"/>
        <w:rPr>
          <w:b/>
          <w:sz w:val="24"/>
        </w:rPr>
      </w:pPr>
      <w:bookmarkStart w:name="The Law" w:id="54"/>
      <w:bookmarkEnd w:id="54"/>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38" w:firstLine="0"/>
        <w:jc w:val="both"/>
        <w:rPr>
          <w:b/>
          <w:sz w:val="24"/>
        </w:rPr>
      </w:pPr>
      <w:r>
        <w:rPr>
          <w:b/>
          <w:color w:val="231F20"/>
          <w:sz w:val="24"/>
        </w:rPr>
        <w:t>If otherwise allowed by law or rule of the public body, a member of a public body</w:t>
      </w:r>
      <w:r>
        <w:rPr>
          <w:b/>
          <w:color w:val="231F20"/>
          <w:spacing w:val="40"/>
          <w:sz w:val="24"/>
        </w:rPr>
        <w:t> </w:t>
      </w:r>
      <w:r>
        <w:rPr>
          <w:b/>
          <w:color w:val="231F20"/>
          <w:sz w:val="24"/>
        </w:rPr>
        <w:t>may</w:t>
      </w:r>
      <w:r>
        <w:rPr>
          <w:b/>
          <w:color w:val="231F20"/>
          <w:spacing w:val="32"/>
          <w:sz w:val="24"/>
        </w:rPr>
        <w:t> </w:t>
      </w:r>
      <w:r>
        <w:rPr>
          <w:b/>
          <w:color w:val="231F20"/>
          <w:sz w:val="24"/>
        </w:rPr>
        <w:t>participate</w:t>
      </w:r>
      <w:r>
        <w:rPr>
          <w:b/>
          <w:color w:val="231F20"/>
          <w:spacing w:val="31"/>
          <w:sz w:val="24"/>
        </w:rPr>
        <w:t> </w:t>
      </w:r>
      <w:r>
        <w:rPr>
          <w:b/>
          <w:color w:val="231F20"/>
          <w:sz w:val="24"/>
        </w:rPr>
        <w:t>in</w:t>
      </w:r>
      <w:r>
        <w:rPr>
          <w:b/>
          <w:color w:val="231F20"/>
          <w:spacing w:val="35"/>
          <w:sz w:val="24"/>
        </w:rPr>
        <w:t> </w:t>
      </w:r>
      <w:r>
        <w:rPr>
          <w:b/>
          <w:color w:val="231F20"/>
          <w:sz w:val="24"/>
        </w:rPr>
        <w:t>a</w:t>
      </w:r>
      <w:r>
        <w:rPr>
          <w:b/>
          <w:color w:val="231F20"/>
          <w:spacing w:val="36"/>
          <w:sz w:val="24"/>
        </w:rPr>
        <w:t> </w:t>
      </w:r>
      <w:r>
        <w:rPr>
          <w:b/>
          <w:color w:val="231F20"/>
          <w:sz w:val="24"/>
        </w:rPr>
        <w:t>meeting</w:t>
      </w:r>
      <w:r>
        <w:rPr>
          <w:b/>
          <w:color w:val="231F20"/>
          <w:spacing w:val="33"/>
          <w:sz w:val="24"/>
        </w:rPr>
        <w:t> </w:t>
      </w:r>
      <w:r>
        <w:rPr>
          <w:b/>
          <w:color w:val="231F20"/>
          <w:sz w:val="24"/>
        </w:rPr>
        <w:t>of</w:t>
      </w:r>
      <w:r>
        <w:rPr>
          <w:b/>
          <w:color w:val="231F20"/>
          <w:spacing w:val="36"/>
          <w:sz w:val="24"/>
        </w:rPr>
        <w:t> </w:t>
      </w:r>
      <w:r>
        <w:rPr>
          <w:b/>
          <w:color w:val="231F20"/>
          <w:sz w:val="24"/>
        </w:rPr>
        <w:t>the</w:t>
      </w:r>
      <w:r>
        <w:rPr>
          <w:b/>
          <w:color w:val="231F20"/>
          <w:spacing w:val="33"/>
          <w:sz w:val="24"/>
        </w:rPr>
        <w:t> </w:t>
      </w:r>
      <w:r>
        <w:rPr>
          <w:b/>
          <w:color w:val="231F20"/>
          <w:spacing w:val="-2"/>
          <w:sz w:val="24"/>
        </w:rPr>
        <w:t>public</w:t>
      </w:r>
    </w:p>
    <w:p>
      <w:pPr>
        <w:spacing w:before="94"/>
        <w:ind w:left="475" w:right="735" w:firstLine="0"/>
        <w:jc w:val="both"/>
        <w:rPr>
          <w:b/>
          <w:sz w:val="24"/>
        </w:rPr>
      </w:pPr>
      <w:r>
        <w:rPr/>
        <w:br w:type="column"/>
      </w:r>
      <w:r>
        <w:rPr>
          <w:b/>
          <w:color w:val="231F20"/>
          <w:sz w:val="24"/>
        </w:rPr>
        <w:t>body by means of a conference telephone or other similar communications equipment when it is otherwise difficult</w:t>
      </w:r>
      <w:r>
        <w:rPr>
          <w:b/>
          <w:color w:val="231F20"/>
          <w:sz w:val="24"/>
        </w:rPr>
        <w:t> or</w:t>
      </w:r>
      <w:r>
        <w:rPr>
          <w:b/>
          <w:color w:val="231F20"/>
          <w:sz w:val="24"/>
        </w:rPr>
        <w:t> impossible for the member to attend the meeting in person, provided that each member participating by conference</w:t>
      </w:r>
      <w:r>
        <w:rPr>
          <w:b/>
          <w:color w:val="231F20"/>
          <w:sz w:val="24"/>
        </w:rPr>
        <w:t> telephone can</w:t>
      </w:r>
      <w:r>
        <w:rPr>
          <w:b/>
          <w:color w:val="231F20"/>
          <w:spacing w:val="40"/>
          <w:sz w:val="24"/>
        </w:rPr>
        <w:t> </w:t>
      </w:r>
      <w:r>
        <w:rPr>
          <w:b/>
          <w:color w:val="231F20"/>
          <w:sz w:val="24"/>
        </w:rPr>
        <w:t>be</w:t>
      </w:r>
      <w:r>
        <w:rPr>
          <w:b/>
          <w:color w:val="231F20"/>
          <w:spacing w:val="-4"/>
          <w:sz w:val="24"/>
        </w:rPr>
        <w:t> </w:t>
      </w:r>
      <w:r>
        <w:rPr>
          <w:b/>
          <w:color w:val="231F20"/>
          <w:sz w:val="24"/>
        </w:rPr>
        <w:t>identified</w:t>
      </w:r>
      <w:r>
        <w:rPr>
          <w:b/>
          <w:color w:val="231F20"/>
          <w:spacing w:val="-3"/>
          <w:sz w:val="24"/>
        </w:rPr>
        <w:t> </w:t>
      </w:r>
      <w:r>
        <w:rPr>
          <w:b/>
          <w:color w:val="231F20"/>
          <w:sz w:val="24"/>
        </w:rPr>
        <w:t>when</w:t>
      </w:r>
      <w:r>
        <w:rPr>
          <w:b/>
          <w:color w:val="231F20"/>
          <w:spacing w:val="-3"/>
          <w:sz w:val="24"/>
        </w:rPr>
        <w:t> </w:t>
      </w:r>
      <w:r>
        <w:rPr>
          <w:b/>
          <w:color w:val="231F20"/>
          <w:sz w:val="24"/>
        </w:rPr>
        <w:t>speaking,</w:t>
      </w:r>
      <w:r>
        <w:rPr>
          <w:b/>
          <w:color w:val="231F20"/>
          <w:spacing w:val="-3"/>
          <w:sz w:val="24"/>
        </w:rPr>
        <w:t> </w:t>
      </w:r>
      <w:r>
        <w:rPr>
          <w:b/>
          <w:color w:val="231F20"/>
          <w:sz w:val="24"/>
        </w:rPr>
        <w:t>all</w:t>
      </w:r>
      <w:r>
        <w:rPr>
          <w:b/>
          <w:color w:val="231F20"/>
          <w:spacing w:val="-3"/>
          <w:sz w:val="24"/>
        </w:rPr>
        <w:t> </w:t>
      </w:r>
      <w:r>
        <w:rPr>
          <w:b/>
          <w:color w:val="231F20"/>
          <w:sz w:val="24"/>
        </w:rPr>
        <w:t>participants are able to hear each other at the same time and members of the public attending the meeting are able to hear any member of the public body</w:t>
      </w:r>
      <w:r>
        <w:rPr>
          <w:b/>
          <w:color w:val="231F20"/>
          <w:spacing w:val="-1"/>
          <w:sz w:val="24"/>
        </w:rPr>
        <w:t> </w:t>
      </w:r>
      <w:r>
        <w:rPr>
          <w:b/>
          <w:color w:val="231F20"/>
          <w:sz w:val="24"/>
        </w:rPr>
        <w:t>who speaks</w:t>
      </w:r>
      <w:r>
        <w:rPr>
          <w:b/>
          <w:color w:val="231F20"/>
          <w:spacing w:val="-1"/>
          <w:sz w:val="24"/>
        </w:rPr>
        <w:t> </w:t>
      </w:r>
      <w:r>
        <w:rPr>
          <w:b/>
          <w:color w:val="231F20"/>
          <w:sz w:val="24"/>
        </w:rPr>
        <w:t>during the meeting.</w:t>
      </w:r>
    </w:p>
    <w:p>
      <w:pPr>
        <w:pStyle w:val="BodyText"/>
        <w:spacing w:before="7"/>
        <w:rPr>
          <w:b/>
          <w:sz w:val="23"/>
        </w:rPr>
      </w:pPr>
    </w:p>
    <w:p>
      <w:pPr>
        <w:pStyle w:val="BodyText"/>
        <w:ind w:left="475"/>
      </w:pPr>
      <w:bookmarkStart w:name="Commentary" w:id="55"/>
      <w:bookmarkEnd w:id="55"/>
      <w:r>
        <w:rPr/>
      </w:r>
      <w:r>
        <w:rPr>
          <w:color w:val="231F20"/>
          <w:spacing w:val="-2"/>
          <w:u w:val="single" w:color="231F20"/>
        </w:rPr>
        <w:t>Commentary</w:t>
      </w:r>
    </w:p>
    <w:p>
      <w:pPr>
        <w:pStyle w:val="BodyText"/>
      </w:pPr>
    </w:p>
    <w:p>
      <w:pPr>
        <w:pStyle w:val="BodyText"/>
        <w:ind w:left="475" w:right="734"/>
        <w:jc w:val="both"/>
      </w:pPr>
      <w:r>
        <w:rPr>
          <w:color w:val="231F20"/>
        </w:rPr>
        <w:t>This provision sets forth requirements for members of a public body who attend a meeting by conference call. The Act does not itself authorize attendance by</w:t>
      </w:r>
      <w:r>
        <w:rPr>
          <w:color w:val="231F20"/>
          <w:spacing w:val="-1"/>
        </w:rPr>
        <w:t> </w:t>
      </w:r>
      <w:r>
        <w:rPr>
          <w:color w:val="231F20"/>
        </w:rPr>
        <w:t>telephone. But if members of a public body have independent authority by law or regulation to participate in meetings by telephone, the requirements will </w:t>
      </w:r>
      <w:r>
        <w:rPr>
          <w:color w:val="231F20"/>
          <w:spacing w:val="-2"/>
        </w:rPr>
        <w:t>apply.</w:t>
      </w:r>
    </w:p>
    <w:p>
      <w:pPr>
        <w:pStyle w:val="BodyText"/>
      </w:pPr>
    </w:p>
    <w:p>
      <w:pPr>
        <w:spacing w:before="1"/>
        <w:ind w:left="475" w:right="0" w:firstLine="0"/>
        <w:jc w:val="left"/>
        <w:rPr>
          <w:i/>
          <w:sz w:val="24"/>
        </w:rPr>
      </w:pPr>
      <w:bookmarkStart w:name="Example 18:" w:id="56"/>
      <w:bookmarkEnd w:id="5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18:</w:t>
      </w:r>
    </w:p>
    <w:p>
      <w:pPr>
        <w:pStyle w:val="BodyText"/>
        <w:spacing w:before="11"/>
        <w:rPr>
          <w:i/>
          <w:sz w:val="23"/>
        </w:rPr>
      </w:pPr>
    </w:p>
    <w:p>
      <w:pPr>
        <w:spacing w:line="240" w:lineRule="auto" w:before="0"/>
        <w:ind w:left="475" w:right="733" w:firstLine="0"/>
        <w:jc w:val="both"/>
        <w:rPr>
          <w:i/>
          <w:sz w:val="24"/>
        </w:rPr>
      </w:pPr>
      <w:r>
        <w:rPr>
          <w:i/>
          <w:color w:val="231F20"/>
          <w:sz w:val="24"/>
        </w:rPr>
        <w:t>The state student loan authority is granted the</w:t>
      </w:r>
      <w:r>
        <w:rPr>
          <w:i/>
          <w:color w:val="231F20"/>
          <w:sz w:val="24"/>
        </w:rPr>
        <w:t> same powers as those exercised by nonprofit organizations incorporated under state law. The Nonprofit Corporation Act allows a nonprofit’s board of directors to “participate in a meeting … by means of a conference telephone or similar communications equipment” and provides that “participation by such means shall constitute presence in person at a meeting.” This law authorizes a member of the authority’s governing board who is unable to attend a meeting in person to participate by conference telephone if the requirements of the Open Meetings Act are </w:t>
      </w:r>
      <w:r>
        <w:rPr>
          <w:i/>
          <w:color w:val="231F20"/>
          <w:spacing w:val="-4"/>
          <w:sz w:val="24"/>
        </w:rPr>
        <w:t>met.</w:t>
      </w:r>
    </w:p>
    <w:p>
      <w:pPr>
        <w:pStyle w:val="BodyText"/>
        <w:spacing w:before="9"/>
        <w:rPr>
          <w:i/>
          <w:sz w:val="23"/>
        </w:rPr>
      </w:pPr>
    </w:p>
    <w:p>
      <w:pPr>
        <w:pStyle w:val="BodyText"/>
        <w:spacing w:before="1"/>
        <w:ind w:left="475"/>
      </w:pPr>
      <w:bookmarkStart w:name="Commentary" w:id="57"/>
      <w:bookmarkEnd w:id="57"/>
      <w:r>
        <w:rPr/>
      </w:r>
      <w:r>
        <w:rPr>
          <w:color w:val="231F20"/>
          <w:spacing w:val="-2"/>
          <w:u w:val="single" w:color="231F20"/>
        </w:rPr>
        <w:t>Commentary</w:t>
      </w:r>
    </w:p>
    <w:p>
      <w:pPr>
        <w:pStyle w:val="BodyText"/>
        <w:spacing w:before="11"/>
        <w:rPr>
          <w:sz w:val="23"/>
        </w:rPr>
      </w:pPr>
    </w:p>
    <w:p>
      <w:pPr>
        <w:pStyle w:val="BodyText"/>
        <w:ind w:left="475" w:right="732"/>
        <w:jc w:val="both"/>
      </w:pPr>
      <w:r>
        <w:rPr>
          <w:color w:val="231F20"/>
        </w:rPr>
        <w:t>Even where attendance by telephone is allowed, it would defeat the purposes of the Open Meetings Act if this were</w:t>
      </w:r>
      <w:r>
        <w:rPr>
          <w:color w:val="231F20"/>
        </w:rPr>
        <w:t> done</w:t>
      </w:r>
      <w:r>
        <w:rPr>
          <w:color w:val="231F20"/>
        </w:rPr>
        <w:t> by</w:t>
      </w:r>
      <w:r>
        <w:rPr>
          <w:color w:val="231F20"/>
        </w:rPr>
        <w:t> a</w:t>
      </w:r>
      <w:r>
        <w:rPr>
          <w:color w:val="231F20"/>
          <w:spacing w:val="40"/>
        </w:rPr>
        <w:t> </w:t>
      </w:r>
      <w:r>
        <w:rPr>
          <w:color w:val="231F20"/>
        </w:rPr>
        <w:t>large</w:t>
      </w:r>
      <w:r>
        <w:rPr>
          <w:color w:val="231F20"/>
        </w:rPr>
        <w:t> number</w:t>
      </w:r>
      <w:r>
        <w:rPr>
          <w:color w:val="231F20"/>
        </w:rPr>
        <w:t> of</w:t>
      </w:r>
      <w:r>
        <w:rPr>
          <w:color w:val="231F20"/>
        </w:rPr>
        <w:t> board</w:t>
      </w:r>
      <w:r>
        <w:rPr>
          <w:color w:val="231F20"/>
        </w:rPr>
        <w:t> members. That is why the legislature provided that participation by telephone</w:t>
      </w:r>
      <w:r>
        <w:rPr>
          <w:color w:val="231F20"/>
          <w:spacing w:val="73"/>
        </w:rPr>
        <w:t> </w:t>
      </w:r>
      <w:r>
        <w:rPr>
          <w:color w:val="231F20"/>
        </w:rPr>
        <w:t>conference</w:t>
      </w:r>
      <w:r>
        <w:rPr>
          <w:color w:val="231F20"/>
          <w:spacing w:val="72"/>
        </w:rPr>
        <w:t> </w:t>
      </w:r>
      <w:r>
        <w:rPr>
          <w:color w:val="231F20"/>
        </w:rPr>
        <w:t>may</w:t>
      </w:r>
      <w:r>
        <w:rPr>
          <w:color w:val="231F20"/>
          <w:spacing w:val="70"/>
        </w:rPr>
        <w:t> </w:t>
      </w:r>
      <w:r>
        <w:rPr>
          <w:color w:val="231F20"/>
        </w:rPr>
        <w:t>occur</w:t>
      </w:r>
      <w:r>
        <w:rPr>
          <w:color w:val="231F20"/>
          <w:spacing w:val="72"/>
        </w:rPr>
        <w:t> </w:t>
      </w:r>
      <w:r>
        <w:rPr>
          <w:color w:val="231F20"/>
        </w:rPr>
        <w:t>only</w:t>
      </w:r>
      <w:r>
        <w:rPr>
          <w:color w:val="231F20"/>
          <w:spacing w:val="70"/>
        </w:rPr>
        <w:t> </w:t>
      </w:r>
      <w:r>
        <w:rPr>
          <w:color w:val="231F20"/>
          <w:spacing w:val="-4"/>
        </w:rPr>
        <w:t>when</w:t>
      </w:r>
    </w:p>
    <w:p>
      <w:pPr>
        <w:spacing w:after="0"/>
        <w:jc w:val="both"/>
        <w:sectPr>
          <w:type w:val="continuous"/>
          <w:pgSz w:w="12240" w:h="15840"/>
          <w:pgMar w:header="660" w:footer="484" w:top="480" w:bottom="280" w:left="360" w:right="240"/>
          <w:cols w:num="2" w:equalWidth="0">
            <w:col w:w="5062" w:space="820"/>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8"/>
        <w:jc w:val="both"/>
      </w:pPr>
      <w:r>
        <w:rPr>
          <w:color w:val="231F20"/>
        </w:rPr>
        <w:t>“difficult or impossible.” Thus, in all cases where it is possible, members of a public body should attend meetings in person. Participation by telephone should occur only when circumstances beyond the member’s control would make attendance in person extremely burdensome. The provision is not intended to encourage participation by telephone in cases where personal attendance would be merely inconvenient or would be more efficient or economical for the public body.</w:t>
      </w:r>
    </w:p>
    <w:p>
      <w:pPr>
        <w:pStyle w:val="BodyText"/>
        <w:spacing w:before="5"/>
      </w:pPr>
    </w:p>
    <w:p>
      <w:pPr>
        <w:pStyle w:val="Heading2"/>
        <w:numPr>
          <w:ilvl w:val="0"/>
          <w:numId w:val="6"/>
        </w:numPr>
        <w:tabs>
          <w:tab w:pos="817" w:val="left" w:leader="none"/>
        </w:tabs>
        <w:spacing w:line="240" w:lineRule="auto" w:before="1" w:after="0"/>
        <w:ind w:left="816" w:right="0" w:hanging="342"/>
        <w:jc w:val="left"/>
      </w:pPr>
      <w:bookmarkStart w:name="_TOC_250016" w:id="58"/>
      <w:bookmarkStart w:name="D. Notice Requirements" w:id="59"/>
      <w:r>
        <w:rPr>
          <w:color w:val="231F20"/>
        </w:rPr>
        <w:t>N</w:t>
      </w:r>
      <w:r>
        <w:rPr>
          <w:color w:val="231F20"/>
        </w:rPr>
        <w:t>otice</w:t>
      </w:r>
      <w:r>
        <w:rPr>
          <w:color w:val="231F20"/>
          <w:spacing w:val="-1"/>
        </w:rPr>
        <w:t> </w:t>
      </w:r>
      <w:bookmarkEnd w:id="58"/>
      <w:r>
        <w:rPr>
          <w:color w:val="231F20"/>
          <w:spacing w:val="-2"/>
        </w:rPr>
        <w:t>Requirements</w:t>
      </w:r>
    </w:p>
    <w:p>
      <w:pPr>
        <w:pStyle w:val="BodyText"/>
        <w:spacing w:before="10"/>
        <w:rPr>
          <w:b/>
          <w:sz w:val="23"/>
        </w:rPr>
      </w:pPr>
    </w:p>
    <w:p>
      <w:pPr>
        <w:spacing w:before="0"/>
        <w:ind w:left="475" w:right="0" w:firstLine="0"/>
        <w:jc w:val="both"/>
        <w:rPr>
          <w:b/>
          <w:sz w:val="24"/>
        </w:rPr>
      </w:pPr>
      <w:bookmarkStart w:name="The Law" w:id="60"/>
      <w:bookmarkEnd w:id="60"/>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38" w:firstLine="0"/>
        <w:jc w:val="both"/>
        <w:rPr>
          <w:b/>
          <w:sz w:val="24"/>
        </w:rPr>
      </w:pPr>
      <w:r>
        <w:rPr>
          <w:b/>
          <w:color w:val="231F20"/>
          <w:sz w:val="24"/>
        </w:rPr>
        <w:t>Any meetings at which the discussion or adoption of any proposed resolution, rule, regulation or formal action occurs and at which a majority or quorum of the body is in attendance, and any closed meetings,</w:t>
      </w:r>
      <w:r>
        <w:rPr>
          <w:b/>
          <w:color w:val="231F20"/>
          <w:spacing w:val="40"/>
          <w:sz w:val="24"/>
        </w:rPr>
        <w:t> </w:t>
      </w:r>
      <w:r>
        <w:rPr>
          <w:b/>
          <w:color w:val="231F20"/>
          <w:sz w:val="24"/>
        </w:rPr>
        <w:t>shall be held only after reasonable notice to the public. The affected body shall determine at least</w:t>
      </w:r>
      <w:r>
        <w:rPr>
          <w:b/>
          <w:color w:val="231F20"/>
          <w:sz w:val="24"/>
        </w:rPr>
        <w:t> annually in a public meeting what notice for a public meeting is reasonable when applied to that body. That notice</w:t>
      </w:r>
      <w:r>
        <w:rPr>
          <w:b/>
          <w:color w:val="231F20"/>
          <w:sz w:val="24"/>
        </w:rPr>
        <w:t> shall include broadcast</w:t>
      </w:r>
      <w:r>
        <w:rPr>
          <w:b/>
          <w:color w:val="231F20"/>
          <w:sz w:val="24"/>
        </w:rPr>
        <w:t> stations licensed by the federal communications commission and newspapers of general circulation that have provided a written request for such notice.</w:t>
      </w:r>
    </w:p>
    <w:p>
      <w:pPr>
        <w:pStyle w:val="BodyText"/>
        <w:spacing w:before="7"/>
        <w:rPr>
          <w:b/>
          <w:sz w:val="23"/>
        </w:rPr>
      </w:pPr>
    </w:p>
    <w:p>
      <w:pPr>
        <w:pStyle w:val="BodyText"/>
        <w:ind w:left="475"/>
      </w:pPr>
      <w:bookmarkStart w:name="Commentary" w:id="61"/>
      <w:bookmarkEnd w:id="61"/>
      <w:r>
        <w:rPr/>
      </w:r>
      <w:r>
        <w:rPr>
          <w:color w:val="231F20"/>
          <w:spacing w:val="-2"/>
          <w:u w:val="single" w:color="231F20"/>
        </w:rPr>
        <w:t>Commentary</w:t>
      </w:r>
    </w:p>
    <w:p>
      <w:pPr>
        <w:pStyle w:val="BodyText"/>
      </w:pPr>
    </w:p>
    <w:p>
      <w:pPr>
        <w:pStyle w:val="BodyText"/>
        <w:ind w:left="475" w:right="39"/>
        <w:jc w:val="both"/>
      </w:pPr>
      <w:r>
        <w:rPr>
          <w:color w:val="231F20"/>
        </w:rPr>
        <w:t>This</w:t>
      </w:r>
      <w:r>
        <w:rPr>
          <w:color w:val="231F20"/>
          <w:spacing w:val="-4"/>
        </w:rPr>
        <w:t> </w:t>
      </w:r>
      <w:r>
        <w:rPr>
          <w:color w:val="231F20"/>
        </w:rPr>
        <w:t>Subsection</w:t>
      </w:r>
      <w:r>
        <w:rPr>
          <w:color w:val="231F20"/>
          <w:spacing w:val="-4"/>
        </w:rPr>
        <w:t> </w:t>
      </w:r>
      <w:r>
        <w:rPr>
          <w:color w:val="231F20"/>
        </w:rPr>
        <w:t>requires</w:t>
      </w:r>
      <w:r>
        <w:rPr>
          <w:color w:val="231F20"/>
          <w:spacing w:val="-2"/>
        </w:rPr>
        <w:t> </w:t>
      </w:r>
      <w:r>
        <w:rPr>
          <w:color w:val="231F20"/>
        </w:rPr>
        <w:t>that</w:t>
      </w:r>
      <w:r>
        <w:rPr>
          <w:color w:val="231F20"/>
          <w:spacing w:val="-4"/>
        </w:rPr>
        <w:t> </w:t>
      </w:r>
      <w:r>
        <w:rPr>
          <w:color w:val="231F20"/>
        </w:rPr>
        <w:t>reasonable</w:t>
      </w:r>
      <w:r>
        <w:rPr>
          <w:color w:val="231F20"/>
          <w:spacing w:val="-5"/>
        </w:rPr>
        <w:t> </w:t>
      </w:r>
      <w:r>
        <w:rPr>
          <w:color w:val="231F20"/>
        </w:rPr>
        <w:t>notice be given of public meetings at which proposed rules, regulations, resolutions or formal action will be discussed or adopted. In effect, this means a public body must give notice of all public meetings of a quorum of the public body. The notice must include licensed broadcast stations and newspapers of general circulation</w:t>
      </w:r>
      <w:r>
        <w:rPr>
          <w:color w:val="231F20"/>
          <w:spacing w:val="-5"/>
        </w:rPr>
        <w:t> </w:t>
      </w:r>
      <w:r>
        <w:rPr>
          <w:color w:val="231F20"/>
        </w:rPr>
        <w:t>that</w:t>
      </w:r>
      <w:r>
        <w:rPr>
          <w:color w:val="231F20"/>
          <w:spacing w:val="-5"/>
        </w:rPr>
        <w:t> </w:t>
      </w:r>
      <w:r>
        <w:rPr>
          <w:color w:val="231F20"/>
        </w:rPr>
        <w:t>have</w:t>
      </w:r>
      <w:r>
        <w:rPr>
          <w:color w:val="231F20"/>
          <w:spacing w:val="-6"/>
        </w:rPr>
        <w:t> </w:t>
      </w:r>
      <w:r>
        <w:rPr>
          <w:color w:val="231F20"/>
        </w:rPr>
        <w:t>made</w:t>
      </w:r>
      <w:r>
        <w:rPr>
          <w:color w:val="231F20"/>
          <w:spacing w:val="-6"/>
        </w:rPr>
        <w:t> </w:t>
      </w:r>
      <w:r>
        <w:rPr>
          <w:color w:val="231F20"/>
        </w:rPr>
        <w:t>a</w:t>
      </w:r>
      <w:r>
        <w:rPr>
          <w:color w:val="231F20"/>
          <w:spacing w:val="-4"/>
        </w:rPr>
        <w:t> </w:t>
      </w:r>
      <w:r>
        <w:rPr>
          <w:color w:val="231F20"/>
        </w:rPr>
        <w:t>written</w:t>
      </w:r>
      <w:r>
        <w:rPr>
          <w:color w:val="231F20"/>
          <w:spacing w:val="-5"/>
        </w:rPr>
        <w:t> </w:t>
      </w:r>
      <w:r>
        <w:rPr>
          <w:color w:val="231F20"/>
        </w:rPr>
        <w:t>request</w:t>
      </w:r>
      <w:r>
        <w:rPr>
          <w:color w:val="231F20"/>
          <w:spacing w:val="-5"/>
        </w:rPr>
        <w:t> </w:t>
      </w:r>
      <w:r>
        <w:rPr>
          <w:color w:val="231F20"/>
        </w:rPr>
        <w:t>for notice of the public body’s meetings.</w:t>
      </w:r>
    </w:p>
    <w:p>
      <w:pPr>
        <w:pStyle w:val="BodyText"/>
      </w:pPr>
    </w:p>
    <w:p>
      <w:pPr>
        <w:spacing w:before="0"/>
        <w:ind w:left="475" w:right="0" w:firstLine="0"/>
        <w:jc w:val="left"/>
        <w:rPr>
          <w:i/>
          <w:sz w:val="24"/>
        </w:rPr>
      </w:pPr>
      <w:bookmarkStart w:name="Example 19:" w:id="62"/>
      <w:bookmarkEnd w:id="6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19:</w:t>
      </w:r>
    </w:p>
    <w:p>
      <w:pPr>
        <w:pStyle w:val="BodyText"/>
        <w:rPr>
          <w:i/>
        </w:rPr>
      </w:pPr>
    </w:p>
    <w:p>
      <w:pPr>
        <w:spacing w:before="0"/>
        <w:ind w:left="475" w:right="0" w:firstLine="0"/>
        <w:jc w:val="left"/>
        <w:rPr>
          <w:i/>
          <w:sz w:val="24"/>
        </w:rPr>
      </w:pPr>
      <w:r>
        <w:rPr>
          <w:i/>
          <w:color w:val="231F20"/>
          <w:sz w:val="24"/>
        </w:rPr>
        <w:t>The</w:t>
      </w:r>
      <w:r>
        <w:rPr>
          <w:i/>
          <w:color w:val="231F20"/>
          <w:spacing w:val="40"/>
          <w:sz w:val="24"/>
        </w:rPr>
        <w:t> </w:t>
      </w:r>
      <w:r>
        <w:rPr>
          <w:i/>
          <w:color w:val="231F20"/>
          <w:sz w:val="24"/>
        </w:rPr>
        <w:t>governing</w:t>
      </w:r>
      <w:r>
        <w:rPr>
          <w:i/>
          <w:color w:val="231F20"/>
          <w:spacing w:val="40"/>
          <w:sz w:val="24"/>
        </w:rPr>
        <w:t> </w:t>
      </w:r>
      <w:r>
        <w:rPr>
          <w:i/>
          <w:color w:val="231F20"/>
          <w:sz w:val="24"/>
        </w:rPr>
        <w:t>body</w:t>
      </w:r>
      <w:r>
        <w:rPr>
          <w:i/>
          <w:color w:val="231F20"/>
          <w:spacing w:val="40"/>
          <w:sz w:val="24"/>
        </w:rPr>
        <w:t> </w:t>
      </w:r>
      <w:r>
        <w:rPr>
          <w:i/>
          <w:color w:val="231F20"/>
          <w:sz w:val="24"/>
        </w:rPr>
        <w:t>of</w:t>
      </w:r>
      <w:r>
        <w:rPr>
          <w:i/>
          <w:color w:val="231F20"/>
          <w:spacing w:val="40"/>
          <w:sz w:val="24"/>
        </w:rPr>
        <w:t> </w:t>
      </w:r>
      <w:r>
        <w:rPr>
          <w:i/>
          <w:color w:val="231F20"/>
          <w:sz w:val="24"/>
        </w:rPr>
        <w:t>an</w:t>
      </w:r>
      <w:r>
        <w:rPr>
          <w:i/>
          <w:color w:val="231F20"/>
          <w:spacing w:val="40"/>
          <w:sz w:val="24"/>
        </w:rPr>
        <w:t> </w:t>
      </w:r>
      <w:r>
        <w:rPr>
          <w:i/>
          <w:color w:val="231F20"/>
          <w:sz w:val="24"/>
        </w:rPr>
        <w:t>irrigation</w:t>
      </w:r>
      <w:r>
        <w:rPr>
          <w:i/>
          <w:color w:val="231F20"/>
          <w:spacing w:val="40"/>
          <w:sz w:val="24"/>
        </w:rPr>
        <w:t> </w:t>
      </w:r>
      <w:r>
        <w:rPr>
          <w:i/>
          <w:color w:val="231F20"/>
          <w:sz w:val="24"/>
        </w:rPr>
        <w:t>district</w:t>
      </w:r>
      <w:r>
        <w:rPr>
          <w:i/>
          <w:color w:val="231F20"/>
          <w:sz w:val="24"/>
        </w:rPr>
        <w:t> wishes</w:t>
      </w:r>
      <w:r>
        <w:rPr>
          <w:i/>
          <w:color w:val="231F20"/>
          <w:spacing w:val="21"/>
          <w:sz w:val="24"/>
        </w:rPr>
        <w:t> </w:t>
      </w:r>
      <w:r>
        <w:rPr>
          <w:i/>
          <w:color w:val="231F20"/>
          <w:sz w:val="24"/>
        </w:rPr>
        <w:t>to</w:t>
      </w:r>
      <w:r>
        <w:rPr>
          <w:i/>
          <w:color w:val="231F20"/>
          <w:spacing w:val="22"/>
          <w:sz w:val="24"/>
        </w:rPr>
        <w:t> </w:t>
      </w:r>
      <w:r>
        <w:rPr>
          <w:i/>
          <w:color w:val="231F20"/>
          <w:sz w:val="24"/>
        </w:rPr>
        <w:t>call</w:t>
      </w:r>
      <w:r>
        <w:rPr>
          <w:i/>
          <w:color w:val="231F20"/>
          <w:spacing w:val="22"/>
          <w:sz w:val="24"/>
        </w:rPr>
        <w:t> </w:t>
      </w:r>
      <w:r>
        <w:rPr>
          <w:i/>
          <w:color w:val="231F20"/>
          <w:sz w:val="24"/>
        </w:rPr>
        <w:t>a</w:t>
      </w:r>
      <w:r>
        <w:rPr>
          <w:i/>
          <w:color w:val="231F20"/>
          <w:spacing w:val="22"/>
          <w:sz w:val="24"/>
        </w:rPr>
        <w:t> </w:t>
      </w:r>
      <w:r>
        <w:rPr>
          <w:i/>
          <w:color w:val="231F20"/>
          <w:sz w:val="24"/>
        </w:rPr>
        <w:t>special</w:t>
      </w:r>
      <w:r>
        <w:rPr>
          <w:i/>
          <w:color w:val="231F20"/>
          <w:spacing w:val="24"/>
          <w:sz w:val="24"/>
        </w:rPr>
        <w:t> </w:t>
      </w:r>
      <w:r>
        <w:rPr>
          <w:i/>
          <w:color w:val="231F20"/>
          <w:sz w:val="24"/>
        </w:rPr>
        <w:t>meeting</w:t>
      </w:r>
      <w:r>
        <w:rPr>
          <w:i/>
          <w:color w:val="231F20"/>
          <w:spacing w:val="22"/>
          <w:sz w:val="24"/>
        </w:rPr>
        <w:t> </w:t>
      </w:r>
      <w:r>
        <w:rPr>
          <w:i/>
          <w:color w:val="231F20"/>
          <w:sz w:val="24"/>
        </w:rPr>
        <w:t>to</w:t>
      </w:r>
      <w:r>
        <w:rPr>
          <w:i/>
          <w:color w:val="231F20"/>
          <w:spacing w:val="22"/>
          <w:sz w:val="24"/>
        </w:rPr>
        <w:t> </w:t>
      </w:r>
      <w:r>
        <w:rPr>
          <w:i/>
          <w:color w:val="231F20"/>
          <w:sz w:val="24"/>
        </w:rPr>
        <w:t>discuss</w:t>
      </w:r>
      <w:r>
        <w:rPr>
          <w:i/>
          <w:color w:val="231F20"/>
          <w:spacing w:val="22"/>
          <w:sz w:val="24"/>
        </w:rPr>
        <w:t> </w:t>
      </w:r>
      <w:r>
        <w:rPr>
          <w:i/>
          <w:color w:val="231F20"/>
          <w:spacing w:val="-5"/>
          <w:sz w:val="24"/>
        </w:rPr>
        <w:t>an</w:t>
      </w:r>
    </w:p>
    <w:p>
      <w:pPr>
        <w:spacing w:before="90"/>
        <w:ind w:left="475" w:right="735" w:firstLine="0"/>
        <w:jc w:val="both"/>
        <w:rPr>
          <w:i/>
          <w:sz w:val="24"/>
        </w:rPr>
      </w:pPr>
      <w:r>
        <w:rPr/>
        <w:br w:type="column"/>
      </w:r>
      <w:r>
        <w:rPr>
          <w:i/>
          <w:color w:val="231F20"/>
          <w:sz w:val="24"/>
        </w:rPr>
        <w:t>emergency situation resulting from flood</w:t>
      </w:r>
      <w:r>
        <w:rPr>
          <w:i/>
          <w:color w:val="231F20"/>
          <w:sz w:val="24"/>
        </w:rPr>
        <w:t> damage. The action of simply calling a</w:t>
      </w:r>
      <w:r>
        <w:rPr>
          <w:i/>
          <w:color w:val="231F20"/>
          <w:spacing w:val="40"/>
          <w:sz w:val="24"/>
        </w:rPr>
        <w:t> </w:t>
      </w:r>
      <w:r>
        <w:rPr>
          <w:i/>
          <w:color w:val="231F20"/>
          <w:sz w:val="24"/>
        </w:rPr>
        <w:t>meeting is not formal action for purposes of</w:t>
      </w:r>
      <w:r>
        <w:rPr>
          <w:i/>
          <w:color w:val="231F20"/>
          <w:spacing w:val="40"/>
          <w:sz w:val="24"/>
        </w:rPr>
        <w:t> </w:t>
      </w:r>
      <w:r>
        <w:rPr>
          <w:i/>
          <w:color w:val="231F20"/>
          <w:sz w:val="24"/>
        </w:rPr>
        <w:t>the notice provisions of the Act, since</w:t>
      </w:r>
      <w:r>
        <w:rPr>
          <w:i/>
          <w:color w:val="231F20"/>
          <w:spacing w:val="40"/>
          <w:sz w:val="24"/>
        </w:rPr>
        <w:t> </w:t>
      </w:r>
      <w:r>
        <w:rPr>
          <w:i/>
          <w:color w:val="231F20"/>
          <w:sz w:val="24"/>
        </w:rPr>
        <w:t>requiring notice of a meeting to call a meeting is obviously impractical. This might be overcome by a policy of the public body authorizing the chairman or president to call such meetings as he or she deems necessary.</w:t>
      </w:r>
    </w:p>
    <w:p>
      <w:pPr>
        <w:pStyle w:val="BodyText"/>
        <w:rPr>
          <w:i/>
        </w:rPr>
      </w:pPr>
    </w:p>
    <w:p>
      <w:pPr>
        <w:pStyle w:val="BodyText"/>
        <w:ind w:left="475"/>
      </w:pPr>
      <w:bookmarkStart w:name="Commentary" w:id="63"/>
      <w:bookmarkEnd w:id="63"/>
      <w:r>
        <w:rPr/>
      </w:r>
      <w:r>
        <w:rPr>
          <w:color w:val="231F20"/>
          <w:spacing w:val="-2"/>
          <w:u w:val="single" w:color="231F20"/>
        </w:rPr>
        <w:t>Commentary</w:t>
      </w:r>
    </w:p>
    <w:p>
      <w:pPr>
        <w:pStyle w:val="BodyText"/>
      </w:pPr>
    </w:p>
    <w:p>
      <w:pPr>
        <w:pStyle w:val="BodyText"/>
        <w:ind w:left="475" w:right="732"/>
        <w:jc w:val="both"/>
      </w:pPr>
      <w:r>
        <w:rPr>
          <w:color w:val="231F20"/>
        </w:rPr>
        <w:t>This</w:t>
      </w:r>
      <w:r>
        <w:rPr>
          <w:color w:val="231F20"/>
          <w:spacing w:val="-1"/>
        </w:rPr>
        <w:t> </w:t>
      </w:r>
      <w:r>
        <w:rPr>
          <w:color w:val="231F20"/>
        </w:rPr>
        <w:t>Subsection</w:t>
      </w:r>
      <w:r>
        <w:rPr>
          <w:color w:val="231F20"/>
          <w:spacing w:val="-2"/>
        </w:rPr>
        <w:t> </w:t>
      </w:r>
      <w:r>
        <w:rPr>
          <w:color w:val="231F20"/>
        </w:rPr>
        <w:t>also</w:t>
      </w:r>
      <w:r>
        <w:rPr>
          <w:color w:val="231F20"/>
          <w:spacing w:val="-2"/>
        </w:rPr>
        <w:t> </w:t>
      </w:r>
      <w:r>
        <w:rPr>
          <w:color w:val="231F20"/>
        </w:rPr>
        <w:t>requires</w:t>
      </w:r>
      <w:r>
        <w:rPr>
          <w:color w:val="231F20"/>
          <w:spacing w:val="-1"/>
        </w:rPr>
        <w:t> </w:t>
      </w:r>
      <w:r>
        <w:rPr>
          <w:color w:val="231F20"/>
        </w:rPr>
        <w:t>each</w:t>
      </w:r>
      <w:r>
        <w:rPr>
          <w:color w:val="231F20"/>
          <w:spacing w:val="-2"/>
        </w:rPr>
        <w:t> </w:t>
      </w:r>
      <w:r>
        <w:rPr>
          <w:color w:val="231F20"/>
        </w:rPr>
        <w:t>public</w:t>
      </w:r>
      <w:r>
        <w:rPr>
          <w:color w:val="231F20"/>
          <w:spacing w:val="-3"/>
        </w:rPr>
        <w:t> </w:t>
      </w:r>
      <w:r>
        <w:rPr>
          <w:color w:val="231F20"/>
        </w:rPr>
        <w:t>body to determine its notice procedures at least once a year in a public meeting. Accordingly, each public body should adopt an annual resolution or other announcement at a regularly</w:t>
      </w:r>
      <w:r>
        <w:rPr>
          <w:color w:val="231F20"/>
          <w:spacing w:val="40"/>
        </w:rPr>
        <w:t> </w:t>
      </w:r>
      <w:r>
        <w:rPr>
          <w:color w:val="231F20"/>
        </w:rPr>
        <w:t>scheduled open meeting stating its procedure for giving notice of meetings. The Act does</w:t>
      </w:r>
      <w:r>
        <w:rPr>
          <w:color w:val="231F20"/>
          <w:spacing w:val="40"/>
        </w:rPr>
        <w:t> </w:t>
      </w:r>
      <w:r>
        <w:rPr>
          <w:color w:val="231F20"/>
        </w:rPr>
        <w:t>not impose any specific maximum or</w:t>
      </w:r>
      <w:r>
        <w:rPr>
          <w:color w:val="231F20"/>
          <w:spacing w:val="40"/>
        </w:rPr>
        <w:t> </w:t>
      </w:r>
      <w:r>
        <w:rPr>
          <w:color w:val="231F20"/>
        </w:rPr>
        <w:t>minimum requirements, and what constitutes reasonable notice may vary according to the type of meeting or public body. In general, however, a reasonable notice must adequately, accurately, and sufficiently in advance inform the public of the meeting’s time, place and date, and should be published or posted in a place and manner accessible to the public,</w:t>
      </w:r>
      <w:r>
        <w:rPr>
          <w:color w:val="231F20"/>
          <w:spacing w:val="80"/>
        </w:rPr>
        <w:t> </w:t>
      </w:r>
      <w:r>
        <w:rPr>
          <w:color w:val="231F20"/>
        </w:rPr>
        <w:t>such as a central location at the public body’s main office where the public is allowed, as well as on a web site if the public entity has </w:t>
      </w:r>
      <w:r>
        <w:rPr>
          <w:color w:val="231F20"/>
          <w:spacing w:val="-4"/>
        </w:rPr>
        <w:t>one</w:t>
      </w:r>
    </w:p>
    <w:p>
      <w:pPr>
        <w:pStyle w:val="BodyText"/>
      </w:pPr>
    </w:p>
    <w:p>
      <w:pPr>
        <w:spacing w:before="0"/>
        <w:ind w:left="475" w:right="0" w:firstLine="0"/>
        <w:jc w:val="left"/>
        <w:rPr>
          <w:i/>
          <w:sz w:val="24"/>
        </w:rPr>
      </w:pPr>
      <w:bookmarkStart w:name="Example 20:" w:id="64"/>
      <w:bookmarkEnd w:id="6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20:</w:t>
      </w:r>
    </w:p>
    <w:p>
      <w:pPr>
        <w:pStyle w:val="BodyText"/>
        <w:spacing w:before="9"/>
        <w:rPr>
          <w:i/>
          <w:sz w:val="23"/>
        </w:rPr>
      </w:pPr>
    </w:p>
    <w:p>
      <w:pPr>
        <w:spacing w:before="0"/>
        <w:ind w:left="475" w:right="734" w:firstLine="0"/>
        <w:jc w:val="both"/>
        <w:rPr>
          <w:i/>
          <w:sz w:val="24"/>
        </w:rPr>
      </w:pPr>
      <w:r>
        <w:rPr>
          <w:i/>
          <w:color w:val="231F20"/>
          <w:sz w:val="24"/>
        </w:rPr>
        <w:t>The mayor of the Village of Las Ropas calls a</w:t>
      </w:r>
      <w:r>
        <w:rPr>
          <w:i/>
          <w:color w:val="231F20"/>
          <w:sz w:val="24"/>
        </w:rPr>
        <w:t> special meeting of the Board of Trustees. The public meeting notice states that the meeting will be</w:t>
      </w:r>
      <w:r>
        <w:rPr>
          <w:i/>
          <w:color w:val="231F20"/>
          <w:spacing w:val="-1"/>
          <w:sz w:val="24"/>
        </w:rPr>
        <w:t> </w:t>
      </w:r>
      <w:r>
        <w:rPr>
          <w:i/>
          <w:color w:val="231F20"/>
          <w:sz w:val="24"/>
        </w:rPr>
        <w:t>held the</w:t>
      </w:r>
      <w:r>
        <w:rPr>
          <w:i/>
          <w:color w:val="231F20"/>
          <w:spacing w:val="-1"/>
          <w:sz w:val="24"/>
        </w:rPr>
        <w:t> </w:t>
      </w:r>
      <w:r>
        <w:rPr>
          <w:i/>
          <w:color w:val="231F20"/>
          <w:sz w:val="24"/>
        </w:rPr>
        <w:t>following Monday</w:t>
      </w:r>
      <w:r>
        <w:rPr>
          <w:i/>
          <w:color w:val="231F20"/>
          <w:spacing w:val="-1"/>
          <w:sz w:val="24"/>
        </w:rPr>
        <w:t> </w:t>
      </w:r>
      <w:r>
        <w:rPr>
          <w:i/>
          <w:color w:val="231F20"/>
          <w:sz w:val="24"/>
        </w:rPr>
        <w:t>at 8:30 a.m. in the Village Hall. At 4:30 p.m. on the Friday preceding the meeting, the meeting notice is posted on the</w:t>
      </w:r>
      <w:r>
        <w:rPr>
          <w:i/>
          <w:color w:val="231F20"/>
          <w:spacing w:val="-1"/>
          <w:sz w:val="24"/>
        </w:rPr>
        <w:t> </w:t>
      </w:r>
      <w:r>
        <w:rPr>
          <w:i/>
          <w:color w:val="231F20"/>
          <w:sz w:val="24"/>
        </w:rPr>
        <w:t>door of the</w:t>
      </w:r>
      <w:r>
        <w:rPr>
          <w:i/>
          <w:color w:val="231F20"/>
          <w:spacing w:val="-1"/>
          <w:sz w:val="24"/>
        </w:rPr>
        <w:t> </w:t>
      </w:r>
      <w:r>
        <w:rPr>
          <w:i/>
          <w:color w:val="231F20"/>
          <w:sz w:val="24"/>
        </w:rPr>
        <w:t>Village</w:t>
      </w:r>
      <w:r>
        <w:rPr>
          <w:i/>
          <w:color w:val="231F20"/>
          <w:spacing w:val="-1"/>
          <w:sz w:val="24"/>
        </w:rPr>
        <w:t> </w:t>
      </w:r>
      <w:r>
        <w:rPr>
          <w:i/>
          <w:color w:val="231F20"/>
          <w:sz w:val="24"/>
        </w:rPr>
        <w:t>Clerk’s office in the Village Hall. The Village Hall closes at 5:00 p.m. on weekdays and is not open at all</w:t>
      </w:r>
      <w:r>
        <w:rPr>
          <w:i/>
          <w:color w:val="231F20"/>
          <w:spacing w:val="40"/>
          <w:sz w:val="24"/>
        </w:rPr>
        <w:t> </w:t>
      </w:r>
      <w:r>
        <w:rPr>
          <w:i/>
          <w:color w:val="231F20"/>
          <w:sz w:val="24"/>
        </w:rPr>
        <w:t>on weekends. The meeting notice is not reasonable for purposes of the Act because members of the public interested in attending the meeting have no meaningful opportunity to see the notice before the meeting.</w:t>
      </w:r>
    </w:p>
    <w:p>
      <w:pPr>
        <w:spacing w:after="0"/>
        <w:jc w:val="both"/>
        <w:rPr>
          <w:sz w:val="24"/>
        </w:rPr>
        <w:sectPr>
          <w:type w:val="continuous"/>
          <w:pgSz w:w="12240" w:h="15840"/>
          <w:pgMar w:header="660" w:footer="484" w:top="480" w:bottom="280" w:left="360" w:right="240"/>
          <w:cols w:num="2" w:equalWidth="0">
            <w:col w:w="5062" w:space="820"/>
            <w:col w:w="5758"/>
          </w:cols>
        </w:sectPr>
      </w:pPr>
    </w:p>
    <w:p>
      <w:pPr>
        <w:pStyle w:val="BodyText"/>
        <w:spacing w:before="8"/>
        <w:rPr>
          <w:i/>
          <w:sz w:val="15"/>
        </w:rPr>
      </w:pPr>
    </w:p>
    <w:p>
      <w:pPr>
        <w:spacing w:after="0"/>
        <w:rPr>
          <w:sz w:val="15"/>
        </w:rPr>
        <w:sectPr>
          <w:pgSz w:w="12240" w:h="15840"/>
          <w:pgMar w:header="660" w:footer="484" w:top="960" w:bottom="880" w:left="360" w:right="240"/>
        </w:sectPr>
      </w:pPr>
    </w:p>
    <w:p>
      <w:pPr>
        <w:pStyle w:val="BodyText"/>
        <w:spacing w:before="90"/>
        <w:ind w:left="475"/>
      </w:pPr>
      <w:bookmarkStart w:name="Commentary" w:id="65"/>
      <w:bookmarkEnd w:id="65"/>
      <w:r>
        <w:rPr/>
      </w:r>
      <w:r>
        <w:rPr>
          <w:color w:val="231F20"/>
          <w:spacing w:val="-2"/>
          <w:u w:val="single" w:color="231F20"/>
        </w:rPr>
        <w:t>Commentary</w:t>
      </w:r>
    </w:p>
    <w:p>
      <w:pPr>
        <w:pStyle w:val="BodyText"/>
        <w:spacing w:before="115"/>
        <w:ind w:left="475" w:right="40"/>
        <w:jc w:val="both"/>
      </w:pPr>
      <w:r>
        <w:rPr>
          <w:color w:val="231F20"/>
        </w:rPr>
        <w:t>In</w:t>
      </w:r>
      <w:r>
        <w:rPr>
          <w:color w:val="231F20"/>
        </w:rPr>
        <w:t> most circumstances, the Attorney General will consider reasonable a notice procedure providing ten days advance notice for regular meetings, three days prior notice for special meetings and twenty-four hours advance</w:t>
      </w:r>
      <w:r>
        <w:rPr>
          <w:color w:val="231F20"/>
          <w:spacing w:val="40"/>
        </w:rPr>
        <w:t> </w:t>
      </w:r>
      <w:r>
        <w:rPr>
          <w:color w:val="231F20"/>
        </w:rPr>
        <w:t>notice for emergency meetings. If a public body meets regularly on a specific date, time and place, e.g., the second Wednesday of each month at 7:00 p.m. at the city auditorium, the public</w:t>
      </w:r>
      <w:r>
        <w:rPr>
          <w:color w:val="231F20"/>
          <w:spacing w:val="-2"/>
        </w:rPr>
        <w:t> </w:t>
      </w:r>
      <w:r>
        <w:rPr>
          <w:color w:val="231F20"/>
        </w:rPr>
        <w:t>body</w:t>
      </w:r>
      <w:r>
        <w:rPr>
          <w:color w:val="231F20"/>
          <w:spacing w:val="-5"/>
        </w:rPr>
        <w:t> </w:t>
      </w:r>
      <w:r>
        <w:rPr>
          <w:color w:val="231F20"/>
        </w:rPr>
        <w:t>need</w:t>
      </w:r>
      <w:r>
        <w:rPr>
          <w:color w:val="231F20"/>
          <w:spacing w:val="-1"/>
        </w:rPr>
        <w:t> </w:t>
      </w:r>
      <w:r>
        <w:rPr>
          <w:color w:val="231F20"/>
        </w:rPr>
        <w:t>not provide</w:t>
      </w:r>
      <w:r>
        <w:rPr>
          <w:color w:val="231F20"/>
          <w:spacing w:val="-2"/>
        </w:rPr>
        <w:t> </w:t>
      </w:r>
      <w:r>
        <w:rPr>
          <w:color w:val="231F20"/>
        </w:rPr>
        <w:t>ten</w:t>
      </w:r>
      <w:r>
        <w:rPr>
          <w:color w:val="231F20"/>
          <w:spacing w:val="-1"/>
        </w:rPr>
        <w:t> </w:t>
      </w:r>
      <w:r>
        <w:rPr>
          <w:color w:val="231F20"/>
        </w:rPr>
        <w:t>days advance notice for each individual meeting as long as the public body sets forth the requisite information in the public body’s notice resolution and makes the resolution available</w:t>
      </w:r>
      <w:r>
        <w:rPr>
          <w:color w:val="231F20"/>
          <w:spacing w:val="40"/>
        </w:rPr>
        <w:t> </w:t>
      </w:r>
      <w:r>
        <w:rPr>
          <w:color w:val="231F20"/>
        </w:rPr>
        <w:t>to the public.</w:t>
      </w:r>
    </w:p>
    <w:p>
      <w:pPr>
        <w:pStyle w:val="BodyText"/>
      </w:pPr>
    </w:p>
    <w:p>
      <w:pPr>
        <w:pStyle w:val="BodyText"/>
        <w:ind w:left="475" w:right="39"/>
        <w:jc w:val="both"/>
      </w:pPr>
      <w:r>
        <w:rPr>
          <w:color w:val="231F20"/>
        </w:rPr>
        <w:t>Regardless of whether a meeting is a regular, special</w:t>
      </w:r>
      <w:r>
        <w:rPr>
          <w:color w:val="231F20"/>
          <w:spacing w:val="-3"/>
        </w:rPr>
        <w:t> </w:t>
      </w:r>
      <w:r>
        <w:rPr>
          <w:color w:val="231F20"/>
        </w:rPr>
        <w:t>or</w:t>
      </w:r>
      <w:r>
        <w:rPr>
          <w:color w:val="231F20"/>
          <w:spacing w:val="-2"/>
        </w:rPr>
        <w:t> </w:t>
      </w:r>
      <w:r>
        <w:rPr>
          <w:color w:val="231F20"/>
        </w:rPr>
        <w:t>emergency</w:t>
      </w:r>
      <w:r>
        <w:rPr>
          <w:color w:val="231F20"/>
          <w:spacing w:val="-8"/>
        </w:rPr>
        <w:t> </w:t>
      </w:r>
      <w:r>
        <w:rPr>
          <w:color w:val="231F20"/>
        </w:rPr>
        <w:t>meeting,</w:t>
      </w:r>
      <w:r>
        <w:rPr>
          <w:color w:val="231F20"/>
          <w:spacing w:val="-3"/>
        </w:rPr>
        <w:t> </w:t>
      </w:r>
      <w:r>
        <w:rPr>
          <w:color w:val="231F20"/>
        </w:rPr>
        <w:t>the</w:t>
      </w:r>
      <w:r>
        <w:rPr>
          <w:color w:val="231F20"/>
          <w:spacing w:val="-3"/>
        </w:rPr>
        <w:t> </w:t>
      </w:r>
      <w:r>
        <w:rPr>
          <w:color w:val="231F20"/>
        </w:rPr>
        <w:t>Act</w:t>
      </w:r>
      <w:r>
        <w:rPr>
          <w:color w:val="231F20"/>
          <w:spacing w:val="-1"/>
        </w:rPr>
        <w:t> </w:t>
      </w:r>
      <w:r>
        <w:rPr>
          <w:color w:val="231F20"/>
        </w:rPr>
        <w:t>requires the public body to provide notice that was given as far in advance as reasonably possible under the circumstances involved. For example, an “emergency meeting” called with little or no notice must involve issues that could not have been anticipated and which, if not addressed immediately by the public body, will threaten the health, safety</w:t>
      </w:r>
      <w:r>
        <w:rPr>
          <w:color w:val="231F20"/>
        </w:rPr>
        <w:t> or</w:t>
      </w:r>
      <w:r>
        <w:rPr>
          <w:color w:val="231F20"/>
        </w:rPr>
        <w:t> property</w:t>
      </w:r>
      <w:r>
        <w:rPr>
          <w:color w:val="231F20"/>
        </w:rPr>
        <w:t> of</w:t>
      </w:r>
      <w:r>
        <w:rPr>
          <w:color w:val="231F20"/>
          <w:spacing w:val="40"/>
        </w:rPr>
        <w:t> </w:t>
      </w:r>
      <w:r>
        <w:rPr>
          <w:color w:val="231F20"/>
        </w:rPr>
        <w:t>its citizens, or likely result in substantial financial loss to the public body.</w:t>
      </w:r>
    </w:p>
    <w:p>
      <w:pPr>
        <w:pStyle w:val="BodyText"/>
        <w:spacing w:before="9"/>
        <w:rPr>
          <w:sz w:val="23"/>
        </w:rPr>
      </w:pPr>
    </w:p>
    <w:p>
      <w:pPr>
        <w:spacing w:before="1"/>
        <w:ind w:left="475" w:right="0" w:firstLine="0"/>
        <w:jc w:val="both"/>
        <w:rPr>
          <w:i/>
          <w:sz w:val="24"/>
        </w:rPr>
      </w:pPr>
      <w:bookmarkStart w:name="Example 21:" w:id="66"/>
      <w:bookmarkEnd w:id="6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21:</w:t>
      </w:r>
    </w:p>
    <w:p>
      <w:pPr>
        <w:pStyle w:val="BodyText"/>
        <w:spacing w:before="11"/>
        <w:rPr>
          <w:i/>
          <w:sz w:val="23"/>
        </w:rPr>
      </w:pPr>
    </w:p>
    <w:p>
      <w:pPr>
        <w:spacing w:before="0"/>
        <w:ind w:left="475" w:right="38" w:firstLine="0"/>
        <w:jc w:val="both"/>
        <w:rPr>
          <w:i/>
          <w:sz w:val="24"/>
        </w:rPr>
      </w:pPr>
      <w:r>
        <w:rPr>
          <w:i/>
          <w:color w:val="231F20"/>
          <w:sz w:val="24"/>
        </w:rPr>
        <w:t>With only one hour’s advance notice, a mayor</w:t>
      </w:r>
      <w:r>
        <w:rPr>
          <w:i/>
          <w:color w:val="231F20"/>
          <w:sz w:val="24"/>
        </w:rPr>
        <w:t> calls an “emergency meeting” of the town’s governing board to discuss the purchase of a building. The building’s owner has indicated that unless the town council decides to purchase the building in twenty-four hours, he will offer it to someone else. While the town has no particular need for the building, the mayor thinks it is a good deal. The town’s</w:t>
      </w:r>
      <w:r>
        <w:rPr>
          <w:i/>
          <w:color w:val="231F20"/>
          <w:spacing w:val="40"/>
          <w:sz w:val="24"/>
        </w:rPr>
        <w:t> </w:t>
      </w:r>
      <w:r>
        <w:rPr>
          <w:i/>
          <w:color w:val="231F20"/>
          <w:sz w:val="24"/>
        </w:rPr>
        <w:t>open meetings resolution requires ten days notice for regular meetings, three days notice for special meetings, and twenty-four hours notice, if possible, for emergency meetings.</w:t>
      </w:r>
      <w:r>
        <w:rPr>
          <w:i/>
          <w:color w:val="231F20"/>
          <w:spacing w:val="40"/>
          <w:sz w:val="24"/>
        </w:rPr>
        <w:t> </w:t>
      </w:r>
      <w:r>
        <w:rPr>
          <w:i/>
          <w:color w:val="231F20"/>
          <w:sz w:val="24"/>
        </w:rPr>
        <w:t>The notice given for the meeting is unreasonable because the circumstances justifying an emergency meeting are not </w:t>
      </w:r>
      <w:r>
        <w:rPr>
          <w:i/>
          <w:color w:val="231F20"/>
          <w:spacing w:val="-2"/>
          <w:sz w:val="24"/>
        </w:rPr>
        <w:t>present.</w:t>
      </w:r>
    </w:p>
    <w:p>
      <w:pPr>
        <w:pStyle w:val="BodyText"/>
        <w:spacing w:before="90"/>
        <w:ind w:left="475"/>
      </w:pPr>
      <w:r>
        <w:rPr/>
        <w:br w:type="column"/>
      </w:r>
      <w:bookmarkStart w:name="Commentary" w:id="67"/>
      <w:bookmarkEnd w:id="67"/>
      <w:r>
        <w:rPr/>
      </w:r>
      <w:r>
        <w:rPr>
          <w:color w:val="231F20"/>
          <w:spacing w:val="-2"/>
          <w:u w:val="single" w:color="231F20"/>
        </w:rPr>
        <w:t>Commentary</w:t>
      </w:r>
    </w:p>
    <w:p>
      <w:pPr>
        <w:pStyle w:val="BodyText"/>
        <w:spacing w:before="11"/>
        <w:rPr>
          <w:sz w:val="23"/>
        </w:rPr>
      </w:pPr>
    </w:p>
    <w:p>
      <w:pPr>
        <w:pStyle w:val="BodyText"/>
        <w:ind w:left="475" w:right="732"/>
        <w:jc w:val="both"/>
      </w:pPr>
      <w:r>
        <w:rPr>
          <w:color w:val="231F20"/>
        </w:rPr>
        <w:t>The next example illustrates a resolution containing notice procedures that generally</w:t>
      </w:r>
      <w:r>
        <w:rPr>
          <w:color w:val="231F20"/>
          <w:spacing w:val="40"/>
        </w:rPr>
        <w:t> </w:t>
      </w:r>
      <w:r>
        <w:rPr>
          <w:color w:val="231F20"/>
        </w:rPr>
        <w:t>will be considered reasonable. (NOTE: Paragraph</w:t>
      </w:r>
      <w:r>
        <w:rPr>
          <w:color w:val="231F20"/>
        </w:rPr>
        <w:t> 7</w:t>
      </w:r>
      <w:r>
        <w:rPr>
          <w:color w:val="231F20"/>
        </w:rPr>
        <w:t> of</w:t>
      </w:r>
      <w:r>
        <w:rPr>
          <w:color w:val="231F20"/>
        </w:rPr>
        <w:t> the</w:t>
      </w:r>
      <w:r>
        <w:rPr>
          <w:color w:val="231F20"/>
        </w:rPr>
        <w:t> model</w:t>
      </w:r>
      <w:r>
        <w:rPr>
          <w:color w:val="231F20"/>
        </w:rPr>
        <w:t> resolution is</w:t>
      </w:r>
      <w:r>
        <w:rPr>
          <w:color w:val="231F20"/>
          <w:spacing w:val="40"/>
        </w:rPr>
        <w:t> </w:t>
      </w:r>
      <w:r>
        <w:rPr>
          <w:color w:val="231F20"/>
        </w:rPr>
        <w:t>intended to comply with the requirements of the federal Americans With Disabilities Act (“ADA”). It is not required by the Open Meetings Act, but we recommend that public bodies subject to the ADA include such a notice in their notice resolutions.)</w:t>
      </w:r>
    </w:p>
    <w:p>
      <w:pPr>
        <w:pStyle w:val="BodyText"/>
      </w:pPr>
    </w:p>
    <w:p>
      <w:pPr>
        <w:spacing w:before="0"/>
        <w:ind w:left="475" w:right="0" w:firstLine="0"/>
        <w:jc w:val="both"/>
        <w:rPr>
          <w:i/>
          <w:sz w:val="24"/>
        </w:rPr>
      </w:pPr>
      <w:bookmarkStart w:name="Example 22:" w:id="68"/>
      <w:bookmarkEnd w:id="6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22:</w:t>
      </w:r>
    </w:p>
    <w:p>
      <w:pPr>
        <w:pStyle w:val="BodyText"/>
        <w:rPr>
          <w:i/>
        </w:rPr>
      </w:pPr>
    </w:p>
    <w:p>
      <w:pPr>
        <w:tabs>
          <w:tab w:pos="4583" w:val="left" w:leader="none"/>
        </w:tabs>
        <w:spacing w:before="0"/>
        <w:ind w:left="475" w:right="740" w:firstLine="0"/>
        <w:jc w:val="both"/>
        <w:rPr>
          <w:i/>
          <w:sz w:val="24"/>
        </w:rPr>
      </w:pPr>
      <w:r>
        <w:rPr>
          <w:i/>
          <w:color w:val="231F20"/>
          <w:sz w:val="24"/>
        </w:rPr>
        <w:t>[NAME OF COMMISSION, BOARD OR</w:t>
      </w:r>
      <w:r>
        <w:rPr>
          <w:i/>
          <w:color w:val="231F20"/>
          <w:sz w:val="24"/>
        </w:rPr>
        <w:t> AGENCY] RESOLUTION NO. </w:t>
      </w:r>
      <w:r>
        <w:rPr>
          <w:i/>
          <w:color w:val="231F20"/>
          <w:sz w:val="24"/>
          <w:u w:val="single" w:color="221E1F"/>
        </w:rPr>
        <w:tab/>
      </w:r>
    </w:p>
    <w:p>
      <w:pPr>
        <w:pStyle w:val="BodyText"/>
        <w:rPr>
          <w:i/>
        </w:rPr>
      </w:pPr>
    </w:p>
    <w:p>
      <w:pPr>
        <w:tabs>
          <w:tab w:pos="4948" w:val="left" w:leader="none"/>
        </w:tabs>
        <w:spacing w:before="0"/>
        <w:ind w:left="475" w:right="0" w:firstLine="0"/>
        <w:jc w:val="both"/>
        <w:rPr>
          <w:i/>
          <w:sz w:val="24"/>
        </w:rPr>
      </w:pPr>
      <w:bookmarkStart w:name="WHEREAS, THE _______________________" w:id="69"/>
      <w:bookmarkEnd w:id="69"/>
      <w:r>
        <w:rPr/>
      </w:r>
      <w:r>
        <w:rPr>
          <w:i/>
          <w:color w:val="231F20"/>
          <w:sz w:val="24"/>
        </w:rPr>
        <w:t>WHEREAS, THE </w:t>
      </w:r>
      <w:r>
        <w:rPr>
          <w:i/>
          <w:color w:val="231F20"/>
          <w:sz w:val="24"/>
          <w:u w:val="single" w:color="221E1F"/>
        </w:rPr>
        <w:tab/>
      </w:r>
    </w:p>
    <w:p>
      <w:pPr>
        <w:tabs>
          <w:tab w:pos="3407" w:val="left" w:leader="none"/>
          <w:tab w:pos="4948" w:val="left" w:leader="none"/>
        </w:tabs>
        <w:spacing w:before="0"/>
        <w:ind w:left="475" w:right="735" w:firstLine="0"/>
        <w:jc w:val="both"/>
        <w:rPr>
          <w:i/>
          <w:sz w:val="24"/>
        </w:rPr>
      </w:pPr>
      <w:bookmarkStart w:name="met in regular session at ______________" w:id="70"/>
      <w:bookmarkEnd w:id="70"/>
      <w:r>
        <w:rPr/>
      </w:r>
      <w:r>
        <w:rPr>
          <w:i/>
          <w:color w:val="231F20"/>
          <w:sz w:val="24"/>
        </w:rPr>
        <w:t>met in regular session at </w:t>
      </w:r>
      <w:r>
        <w:rPr>
          <w:i/>
          <w:color w:val="231F20"/>
          <w:sz w:val="24"/>
          <w:u w:val="single" w:color="221E1F"/>
        </w:rPr>
        <w:tab/>
        <w:tab/>
      </w:r>
      <w:r>
        <w:rPr>
          <w:i/>
          <w:color w:val="231F20"/>
          <w:sz w:val="24"/>
        </w:rPr>
        <w:t> on</w:t>
      </w:r>
      <w:r>
        <w:rPr>
          <w:i/>
          <w:color w:val="231F20"/>
          <w:spacing w:val="352"/>
          <w:sz w:val="24"/>
        </w:rPr>
        <w:t> </w:t>
      </w:r>
      <w:r>
        <w:rPr>
          <w:i/>
          <w:color w:val="231F20"/>
          <w:sz w:val="24"/>
          <w:u w:val="single" w:color="221E1F"/>
        </w:rPr>
        <w:tab/>
      </w:r>
      <w:r>
        <w:rPr>
          <w:i/>
          <w:color w:val="231F20"/>
          <w:sz w:val="24"/>
        </w:rPr>
        <w:t>,</w:t>
      </w:r>
      <w:r>
        <w:rPr>
          <w:i/>
          <w:color w:val="231F20"/>
          <w:spacing w:val="77"/>
          <w:sz w:val="24"/>
        </w:rPr>
        <w:t>   </w:t>
      </w:r>
      <w:r>
        <w:rPr>
          <w:i/>
          <w:color w:val="231F20"/>
          <w:sz w:val="24"/>
        </w:rPr>
        <w:t>20</w:t>
      </w:r>
      <w:r>
        <w:rPr>
          <w:i/>
          <w:color w:val="231F20"/>
          <w:spacing w:val="60"/>
          <w:sz w:val="24"/>
          <w:u w:val="single" w:color="221E1F"/>
        </w:rPr>
        <w:t>  </w:t>
      </w:r>
      <w:r>
        <w:rPr>
          <w:i/>
          <w:color w:val="231F20"/>
          <w:sz w:val="24"/>
        </w:rPr>
        <w:t>,</w:t>
      </w:r>
      <w:r>
        <w:rPr>
          <w:i/>
          <w:color w:val="231F20"/>
          <w:spacing w:val="77"/>
          <w:sz w:val="24"/>
        </w:rPr>
        <w:t>   </w:t>
      </w:r>
      <w:r>
        <w:rPr>
          <w:i/>
          <w:color w:val="231F20"/>
          <w:spacing w:val="-5"/>
          <w:sz w:val="24"/>
        </w:rPr>
        <w:t>at</w:t>
      </w:r>
    </w:p>
    <w:p>
      <w:pPr>
        <w:tabs>
          <w:tab w:pos="1435" w:val="left" w:leader="none"/>
        </w:tabs>
        <w:spacing w:before="1"/>
        <w:ind w:left="475" w:right="0" w:firstLine="0"/>
        <w:jc w:val="both"/>
        <w:rPr>
          <w:i/>
          <w:sz w:val="24"/>
        </w:rPr>
      </w:pPr>
      <w:r>
        <w:rPr>
          <w:i/>
          <w:color w:val="231F20"/>
          <w:sz w:val="24"/>
          <w:u w:val="single" w:color="221E1F"/>
        </w:rPr>
        <w:tab/>
      </w:r>
      <w:r>
        <w:rPr>
          <w:i/>
          <w:color w:val="231F20"/>
          <w:sz w:val="24"/>
        </w:rPr>
        <w:t>,</w:t>
      </w:r>
      <w:r>
        <w:rPr>
          <w:i/>
          <w:color w:val="231F20"/>
          <w:spacing w:val="-3"/>
          <w:sz w:val="24"/>
        </w:rPr>
        <w:t> </w:t>
      </w:r>
      <w:r>
        <w:rPr>
          <w:i/>
          <w:color w:val="231F20"/>
          <w:sz w:val="24"/>
        </w:rPr>
        <w:t>a.m./p.m.,</w:t>
      </w:r>
      <w:r>
        <w:rPr>
          <w:i/>
          <w:color w:val="231F20"/>
          <w:spacing w:val="-3"/>
          <w:sz w:val="24"/>
        </w:rPr>
        <w:t> </w:t>
      </w:r>
      <w:r>
        <w:rPr>
          <w:i/>
          <w:color w:val="231F20"/>
          <w:sz w:val="24"/>
        </w:rPr>
        <w:t>as</w:t>
      </w:r>
      <w:r>
        <w:rPr>
          <w:i/>
          <w:color w:val="231F20"/>
          <w:spacing w:val="-2"/>
          <w:sz w:val="24"/>
        </w:rPr>
        <w:t> </w:t>
      </w:r>
      <w:r>
        <w:rPr>
          <w:i/>
          <w:color w:val="231F20"/>
          <w:sz w:val="24"/>
        </w:rPr>
        <w:t>required</w:t>
      </w:r>
      <w:r>
        <w:rPr>
          <w:i/>
          <w:color w:val="231F20"/>
          <w:spacing w:val="-3"/>
          <w:sz w:val="24"/>
        </w:rPr>
        <w:t> </w:t>
      </w:r>
      <w:r>
        <w:rPr>
          <w:i/>
          <w:color w:val="231F20"/>
          <w:sz w:val="24"/>
        </w:rPr>
        <w:t>by</w:t>
      </w:r>
      <w:r>
        <w:rPr>
          <w:i/>
          <w:color w:val="231F20"/>
          <w:spacing w:val="-3"/>
          <w:sz w:val="24"/>
        </w:rPr>
        <w:t> </w:t>
      </w:r>
      <w:r>
        <w:rPr>
          <w:i/>
          <w:color w:val="231F20"/>
          <w:sz w:val="24"/>
        </w:rPr>
        <w:t>law;</w:t>
      </w:r>
      <w:r>
        <w:rPr>
          <w:i/>
          <w:color w:val="231F20"/>
          <w:spacing w:val="-4"/>
          <w:sz w:val="24"/>
        </w:rPr>
        <w:t> </w:t>
      </w:r>
      <w:r>
        <w:rPr>
          <w:i/>
          <w:color w:val="231F20"/>
          <w:spacing w:val="-5"/>
          <w:sz w:val="24"/>
        </w:rPr>
        <w:t>and</w:t>
      </w:r>
    </w:p>
    <w:p>
      <w:pPr>
        <w:pStyle w:val="BodyText"/>
        <w:spacing w:before="11"/>
        <w:rPr>
          <w:i/>
          <w:sz w:val="23"/>
        </w:rPr>
      </w:pPr>
    </w:p>
    <w:p>
      <w:pPr>
        <w:spacing w:line="240" w:lineRule="auto" w:before="0"/>
        <w:ind w:left="475" w:right="734" w:firstLine="0"/>
        <w:jc w:val="both"/>
        <w:rPr>
          <w:i/>
          <w:sz w:val="24"/>
        </w:rPr>
      </w:pPr>
      <w:r>
        <w:rPr>
          <w:i/>
          <w:color w:val="231F20"/>
          <w:sz w:val="24"/>
        </w:rPr>
        <w:t>WHEREAS, Section 10-15-1(B) of the Open</w:t>
      </w:r>
      <w:r>
        <w:rPr>
          <w:i/>
          <w:color w:val="231F20"/>
          <w:sz w:val="24"/>
        </w:rPr>
        <w:t> Meetings Act (NMSA 1978, Sections 10-15-1</w:t>
      </w:r>
      <w:r>
        <w:rPr>
          <w:i/>
          <w:color w:val="231F20"/>
          <w:spacing w:val="40"/>
          <w:sz w:val="24"/>
        </w:rPr>
        <w:t> </w:t>
      </w:r>
      <w:r>
        <w:rPr>
          <w:i/>
          <w:color w:val="231F20"/>
          <w:sz w:val="24"/>
        </w:rPr>
        <w:t>to -4) states that, except as may be otherwise provided in the Constitution or the provisions of the Open Meetings Act, all meetings of a quorum of members of any board, council, commission, administrative adjudicatory body or other policymaking body of any state or local public agency held for the purpose </w:t>
      </w:r>
      <w:r>
        <w:rPr>
          <w:i/>
          <w:color w:val="231F20"/>
          <w:sz w:val="24"/>
        </w:rPr>
        <w:t>of formulating public policy, discussing public business or for the purpose of taking any</w:t>
      </w:r>
      <w:r>
        <w:rPr>
          <w:i/>
          <w:color w:val="231F20"/>
          <w:spacing w:val="40"/>
          <w:sz w:val="24"/>
        </w:rPr>
        <w:t> </w:t>
      </w:r>
      <w:r>
        <w:rPr>
          <w:i/>
          <w:color w:val="231F20"/>
          <w:sz w:val="24"/>
        </w:rPr>
        <w:t>action within the authority of or the delegated authority of such body, are declared to be public</w:t>
      </w:r>
      <w:r>
        <w:rPr>
          <w:i/>
          <w:color w:val="231F20"/>
          <w:spacing w:val="-1"/>
          <w:sz w:val="24"/>
        </w:rPr>
        <w:t> </w:t>
      </w:r>
      <w:r>
        <w:rPr>
          <w:i/>
          <w:color w:val="231F20"/>
          <w:sz w:val="24"/>
        </w:rPr>
        <w:t>meetings open to the</w:t>
      </w:r>
      <w:r>
        <w:rPr>
          <w:i/>
          <w:color w:val="231F20"/>
          <w:spacing w:val="-1"/>
          <w:sz w:val="24"/>
        </w:rPr>
        <w:t> </w:t>
      </w:r>
      <w:r>
        <w:rPr>
          <w:i/>
          <w:color w:val="231F20"/>
          <w:sz w:val="24"/>
        </w:rPr>
        <w:t>public</w:t>
      </w:r>
      <w:r>
        <w:rPr>
          <w:i/>
          <w:color w:val="231F20"/>
          <w:spacing w:val="-1"/>
          <w:sz w:val="24"/>
        </w:rPr>
        <w:t> </w:t>
      </w:r>
      <w:r>
        <w:rPr>
          <w:i/>
          <w:color w:val="231F20"/>
          <w:sz w:val="24"/>
        </w:rPr>
        <w:t>at all times; </w:t>
      </w:r>
      <w:r>
        <w:rPr>
          <w:i/>
          <w:color w:val="231F20"/>
          <w:spacing w:val="-4"/>
          <w:sz w:val="24"/>
        </w:rPr>
        <w:t>and</w:t>
      </w:r>
    </w:p>
    <w:p>
      <w:pPr>
        <w:pStyle w:val="BodyText"/>
        <w:spacing w:before="9"/>
        <w:rPr>
          <w:i/>
          <w:sz w:val="23"/>
        </w:rPr>
      </w:pPr>
    </w:p>
    <w:p>
      <w:pPr>
        <w:spacing w:before="1"/>
        <w:ind w:left="475" w:right="733" w:firstLine="0"/>
        <w:jc w:val="both"/>
        <w:rPr>
          <w:i/>
          <w:sz w:val="24"/>
        </w:rPr>
      </w:pPr>
      <w:r>
        <w:rPr>
          <w:i/>
          <w:color w:val="231F20"/>
          <w:sz w:val="24"/>
        </w:rPr>
        <w:t>WHEREAS, any meetings subject to the Open</w:t>
      </w:r>
      <w:r>
        <w:rPr>
          <w:i/>
          <w:color w:val="231F20"/>
          <w:sz w:val="24"/>
        </w:rPr>
        <w:t> Meetings Act at which the discussion or adoption of any proposed resolution, rule, regulation or formal action occurs shall be held</w:t>
      </w:r>
      <w:r>
        <w:rPr>
          <w:i/>
          <w:color w:val="231F20"/>
          <w:spacing w:val="-1"/>
          <w:sz w:val="24"/>
        </w:rPr>
        <w:t> </w:t>
      </w:r>
      <w:r>
        <w:rPr>
          <w:i/>
          <w:color w:val="231F20"/>
          <w:sz w:val="24"/>
        </w:rPr>
        <w:t>only</w:t>
      </w:r>
      <w:r>
        <w:rPr>
          <w:i/>
          <w:color w:val="231F20"/>
          <w:spacing w:val="-2"/>
          <w:sz w:val="24"/>
        </w:rPr>
        <w:t> </w:t>
      </w:r>
      <w:r>
        <w:rPr>
          <w:i/>
          <w:color w:val="231F20"/>
          <w:sz w:val="24"/>
        </w:rPr>
        <w:t>after reasonable</w:t>
      </w:r>
      <w:r>
        <w:rPr>
          <w:i/>
          <w:color w:val="231F20"/>
          <w:spacing w:val="-2"/>
          <w:sz w:val="24"/>
        </w:rPr>
        <w:t> </w:t>
      </w:r>
      <w:r>
        <w:rPr>
          <w:i/>
          <w:color w:val="231F20"/>
          <w:sz w:val="24"/>
        </w:rPr>
        <w:t>notice</w:t>
      </w:r>
      <w:r>
        <w:rPr>
          <w:i/>
          <w:color w:val="231F20"/>
          <w:spacing w:val="-2"/>
          <w:sz w:val="24"/>
        </w:rPr>
        <w:t> </w:t>
      </w:r>
      <w:r>
        <w:rPr>
          <w:i/>
          <w:color w:val="231F20"/>
          <w:sz w:val="24"/>
        </w:rPr>
        <w:t>to</w:t>
      </w:r>
      <w:r>
        <w:rPr>
          <w:i/>
          <w:color w:val="231F20"/>
          <w:spacing w:val="-1"/>
          <w:sz w:val="24"/>
        </w:rPr>
        <w:t> </w:t>
      </w:r>
      <w:r>
        <w:rPr>
          <w:i/>
          <w:color w:val="231F20"/>
          <w:sz w:val="24"/>
        </w:rPr>
        <w:t>the</w:t>
      </w:r>
      <w:r>
        <w:rPr>
          <w:i/>
          <w:color w:val="231F20"/>
          <w:spacing w:val="-2"/>
          <w:sz w:val="24"/>
        </w:rPr>
        <w:t> </w:t>
      </w:r>
      <w:r>
        <w:rPr>
          <w:i/>
          <w:color w:val="231F20"/>
          <w:sz w:val="24"/>
        </w:rPr>
        <w:t>public; </w:t>
      </w:r>
      <w:r>
        <w:rPr>
          <w:i/>
          <w:color w:val="231F20"/>
          <w:spacing w:val="-4"/>
          <w:sz w:val="24"/>
        </w:rPr>
        <w:t>and</w:t>
      </w:r>
    </w:p>
    <w:p>
      <w:pPr>
        <w:pStyle w:val="BodyText"/>
        <w:rPr>
          <w:i/>
        </w:rPr>
      </w:pPr>
    </w:p>
    <w:p>
      <w:pPr>
        <w:tabs>
          <w:tab w:pos="5018" w:val="left" w:leader="none"/>
        </w:tabs>
        <w:spacing w:before="0"/>
        <w:ind w:left="475" w:right="737" w:firstLine="0"/>
        <w:jc w:val="both"/>
        <w:rPr>
          <w:i/>
          <w:sz w:val="24"/>
        </w:rPr>
      </w:pPr>
      <w:r>
        <w:rPr>
          <w:i/>
          <w:color w:val="231F20"/>
          <w:sz w:val="24"/>
        </w:rPr>
        <w:t>WHEREAS, Section 10-15-1(D)</w:t>
      </w:r>
      <w:r>
        <w:rPr>
          <w:i/>
          <w:color w:val="231F20"/>
          <w:sz w:val="24"/>
        </w:rPr>
        <w:t> of the</w:t>
      </w:r>
      <w:r>
        <w:rPr>
          <w:i/>
          <w:color w:val="231F20"/>
          <w:sz w:val="24"/>
        </w:rPr>
        <w:t> Open</w:t>
      </w:r>
      <w:r>
        <w:rPr>
          <w:i/>
          <w:color w:val="231F20"/>
          <w:sz w:val="24"/>
        </w:rPr>
        <w:t> Meetings</w:t>
      </w:r>
      <w:r>
        <w:rPr>
          <w:i/>
          <w:color w:val="231F20"/>
          <w:spacing w:val="45"/>
          <w:sz w:val="24"/>
        </w:rPr>
        <w:t> </w:t>
      </w:r>
      <w:r>
        <w:rPr>
          <w:i/>
          <w:color w:val="231F20"/>
          <w:sz w:val="24"/>
        </w:rPr>
        <w:t>Act</w:t>
      </w:r>
      <w:r>
        <w:rPr>
          <w:i/>
          <w:color w:val="231F20"/>
          <w:spacing w:val="46"/>
          <w:sz w:val="24"/>
        </w:rPr>
        <w:t> </w:t>
      </w:r>
      <w:r>
        <w:rPr>
          <w:i/>
          <w:color w:val="231F20"/>
          <w:sz w:val="24"/>
        </w:rPr>
        <w:t>requires</w:t>
      </w:r>
      <w:r>
        <w:rPr>
          <w:i/>
          <w:color w:val="231F20"/>
          <w:spacing w:val="45"/>
          <w:sz w:val="24"/>
        </w:rPr>
        <w:t> </w:t>
      </w:r>
      <w:r>
        <w:rPr>
          <w:i/>
          <w:color w:val="231F20"/>
          <w:spacing w:val="-5"/>
          <w:sz w:val="24"/>
        </w:rPr>
        <w:t>the</w:t>
      </w:r>
      <w:r>
        <w:rPr>
          <w:i/>
          <w:color w:val="231F20"/>
          <w:sz w:val="24"/>
          <w:u w:val="single" w:color="221E1F"/>
        </w:rPr>
        <w:tab/>
      </w:r>
    </w:p>
    <w:p>
      <w:pPr>
        <w:tabs>
          <w:tab w:pos="2155" w:val="left" w:leader="none"/>
        </w:tabs>
        <w:spacing w:before="0"/>
        <w:ind w:left="475" w:right="0" w:firstLine="0"/>
        <w:jc w:val="both"/>
        <w:rPr>
          <w:i/>
          <w:sz w:val="24"/>
        </w:rPr>
      </w:pPr>
      <w:r>
        <w:rPr>
          <w:i/>
          <w:color w:val="231F20"/>
          <w:sz w:val="24"/>
          <w:u w:val="single" w:color="221E1F"/>
        </w:rPr>
        <w:tab/>
      </w:r>
      <w:r>
        <w:rPr>
          <w:i/>
          <w:color w:val="231F20"/>
          <w:spacing w:val="40"/>
          <w:sz w:val="24"/>
        </w:rPr>
        <w:t> </w:t>
      </w:r>
      <w:r>
        <w:rPr>
          <w:i/>
          <w:color w:val="231F20"/>
          <w:sz w:val="24"/>
        </w:rPr>
        <w:t>to</w:t>
      </w:r>
      <w:r>
        <w:rPr>
          <w:i/>
          <w:color w:val="231F20"/>
          <w:spacing w:val="40"/>
          <w:sz w:val="24"/>
        </w:rPr>
        <w:t> </w:t>
      </w:r>
      <w:r>
        <w:rPr>
          <w:i/>
          <w:color w:val="231F20"/>
          <w:sz w:val="24"/>
        </w:rPr>
        <w:t>determine</w:t>
      </w:r>
      <w:r>
        <w:rPr>
          <w:i/>
          <w:color w:val="231F20"/>
          <w:spacing w:val="40"/>
          <w:sz w:val="24"/>
        </w:rPr>
        <w:t> </w:t>
      </w:r>
      <w:r>
        <w:rPr>
          <w:i/>
          <w:color w:val="231F20"/>
          <w:sz w:val="24"/>
        </w:rPr>
        <w:t>annually</w:t>
      </w:r>
      <w:r>
        <w:rPr>
          <w:i/>
          <w:color w:val="231F20"/>
          <w:spacing w:val="40"/>
          <w:sz w:val="24"/>
        </w:rPr>
        <w:t> </w:t>
      </w:r>
      <w:r>
        <w:rPr>
          <w:i/>
          <w:color w:val="231F20"/>
          <w:sz w:val="24"/>
        </w:rPr>
        <w:t>what</w:t>
      </w:r>
    </w:p>
    <w:p>
      <w:pPr>
        <w:spacing w:after="0"/>
        <w:jc w:val="both"/>
        <w:rPr>
          <w:sz w:val="24"/>
        </w:rPr>
        <w:sectPr>
          <w:type w:val="continuous"/>
          <w:pgSz w:w="12240" w:h="15840"/>
          <w:pgMar w:header="660" w:footer="484" w:top="480" w:bottom="280" w:left="360" w:right="240"/>
          <w:cols w:num="2" w:equalWidth="0">
            <w:col w:w="5062" w:space="821"/>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constitutes reasonable notice of its public</w:t>
      </w:r>
      <w:r>
        <w:rPr>
          <w:i/>
          <w:color w:val="231F20"/>
          <w:sz w:val="24"/>
        </w:rPr>
        <w:t> </w:t>
      </w:r>
      <w:r>
        <w:rPr>
          <w:i/>
          <w:color w:val="231F20"/>
          <w:spacing w:val="-2"/>
          <w:sz w:val="24"/>
        </w:rPr>
        <w:t>meetings;</w:t>
      </w:r>
    </w:p>
    <w:p>
      <w:pPr>
        <w:pStyle w:val="BodyText"/>
        <w:spacing w:before="11"/>
        <w:rPr>
          <w:i/>
          <w:sz w:val="23"/>
        </w:rPr>
      </w:pPr>
    </w:p>
    <w:p>
      <w:pPr>
        <w:spacing w:before="0"/>
        <w:ind w:left="475" w:right="0" w:firstLine="0"/>
        <w:jc w:val="both"/>
        <w:rPr>
          <w:i/>
          <w:sz w:val="24"/>
        </w:rPr>
      </w:pPr>
      <w:r>
        <w:rPr>
          <w:i/>
          <w:color w:val="231F20"/>
          <w:sz w:val="24"/>
        </w:rPr>
        <w:t>NOW,</w:t>
      </w:r>
      <w:r>
        <w:rPr>
          <w:i/>
          <w:color w:val="231F20"/>
          <w:spacing w:val="54"/>
          <w:sz w:val="24"/>
        </w:rPr>
        <w:t> </w:t>
      </w:r>
      <w:r>
        <w:rPr>
          <w:i/>
          <w:color w:val="231F20"/>
          <w:sz w:val="24"/>
        </w:rPr>
        <w:t>THEREFORE,</w:t>
      </w:r>
      <w:r>
        <w:rPr>
          <w:i/>
          <w:color w:val="231F20"/>
          <w:spacing w:val="55"/>
          <w:sz w:val="24"/>
        </w:rPr>
        <w:t> </w:t>
      </w:r>
      <w:r>
        <w:rPr>
          <w:i/>
          <w:color w:val="231F20"/>
          <w:sz w:val="24"/>
        </w:rPr>
        <w:t>BE</w:t>
      </w:r>
      <w:r>
        <w:rPr>
          <w:i/>
          <w:color w:val="231F20"/>
          <w:spacing w:val="56"/>
          <w:sz w:val="24"/>
        </w:rPr>
        <w:t> </w:t>
      </w:r>
      <w:r>
        <w:rPr>
          <w:i/>
          <w:color w:val="231F20"/>
          <w:sz w:val="24"/>
        </w:rPr>
        <w:t>IT</w:t>
      </w:r>
      <w:r>
        <w:rPr>
          <w:i/>
          <w:color w:val="231F20"/>
          <w:spacing w:val="56"/>
          <w:sz w:val="24"/>
        </w:rPr>
        <w:t> </w:t>
      </w:r>
      <w:r>
        <w:rPr>
          <w:i/>
          <w:color w:val="231F20"/>
          <w:sz w:val="24"/>
        </w:rPr>
        <w:t>RESOLVED</w:t>
      </w:r>
      <w:r>
        <w:rPr>
          <w:i/>
          <w:color w:val="231F20"/>
          <w:spacing w:val="53"/>
          <w:sz w:val="24"/>
        </w:rPr>
        <w:t> </w:t>
      </w:r>
      <w:r>
        <w:rPr>
          <w:i/>
          <w:color w:val="231F20"/>
          <w:spacing w:val="-5"/>
          <w:sz w:val="24"/>
        </w:rPr>
        <w:t>by</w:t>
      </w:r>
    </w:p>
    <w:p>
      <w:pPr>
        <w:spacing w:before="0"/>
        <w:ind w:left="0" w:right="830" w:firstLine="0"/>
        <w:jc w:val="right"/>
        <w:rPr>
          <w:i/>
          <w:sz w:val="24"/>
        </w:rPr>
      </w:pPr>
      <w:r>
        <w:rPr>
          <w:i/>
          <w:color w:val="231F20"/>
          <w:spacing w:val="-2"/>
          <w:sz w:val="24"/>
        </w:rPr>
        <w:t>that:</w:t>
      </w:r>
    </w:p>
    <w:p>
      <w:pPr>
        <w:pStyle w:val="BodyText"/>
        <w:spacing w:line="20" w:lineRule="exact"/>
        <w:ind w:left="475"/>
        <w:rPr>
          <w:sz w:val="2"/>
        </w:rPr>
      </w:pPr>
      <w:r>
        <w:rPr>
          <w:sz w:val="2"/>
        </w:rPr>
        <w:pict>
          <v:group style="width:162pt;height:.5pt;mso-position-horizontal-relative:char;mso-position-vertical-relative:line" id="docshapegroup15" coordorigin="0,0" coordsize="3240,10">
            <v:line style="position:absolute" from="0,5" to="3240,5" stroked="true" strokeweight=".492pt" strokecolor="#221e1f">
              <v:stroke dashstyle="solid"/>
            </v:line>
          </v:group>
        </w:pict>
      </w:r>
      <w:r>
        <w:rPr>
          <w:sz w:val="2"/>
        </w:rPr>
      </w:r>
    </w:p>
    <w:p>
      <w:pPr>
        <w:pStyle w:val="BodyText"/>
        <w:spacing w:before="3"/>
        <w:rPr>
          <w:i/>
          <w:sz w:val="22"/>
        </w:rPr>
      </w:pPr>
    </w:p>
    <w:p>
      <w:pPr>
        <w:pStyle w:val="ListParagraph"/>
        <w:numPr>
          <w:ilvl w:val="0"/>
          <w:numId w:val="8"/>
        </w:numPr>
        <w:tabs>
          <w:tab w:pos="744" w:val="left" w:leader="none"/>
        </w:tabs>
        <w:spacing w:line="240" w:lineRule="auto" w:before="0" w:after="0"/>
        <w:ind w:left="744" w:right="0" w:hanging="269"/>
        <w:jc w:val="both"/>
        <w:rPr>
          <w:i/>
          <w:sz w:val="24"/>
        </w:rPr>
      </w:pPr>
      <w:r>
        <w:rPr>
          <w:i/>
          <w:color w:val="231F20"/>
          <w:sz w:val="24"/>
        </w:rPr>
        <w:t>All</w:t>
      </w:r>
      <w:r>
        <w:rPr>
          <w:i/>
          <w:color w:val="231F20"/>
          <w:spacing w:val="24"/>
          <w:sz w:val="24"/>
        </w:rPr>
        <w:t> </w:t>
      </w:r>
      <w:r>
        <w:rPr>
          <w:i/>
          <w:color w:val="231F20"/>
          <w:sz w:val="24"/>
        </w:rPr>
        <w:t>meetings</w:t>
      </w:r>
      <w:r>
        <w:rPr>
          <w:i/>
          <w:color w:val="231F20"/>
          <w:spacing w:val="27"/>
          <w:sz w:val="24"/>
        </w:rPr>
        <w:t> </w:t>
      </w:r>
      <w:r>
        <w:rPr>
          <w:i/>
          <w:color w:val="231F20"/>
          <w:sz w:val="24"/>
        </w:rPr>
        <w:t>shall</w:t>
      </w:r>
      <w:r>
        <w:rPr>
          <w:i/>
          <w:color w:val="231F20"/>
          <w:spacing w:val="27"/>
          <w:sz w:val="24"/>
        </w:rPr>
        <w:t> </w:t>
      </w:r>
      <w:r>
        <w:rPr>
          <w:i/>
          <w:color w:val="231F20"/>
          <w:sz w:val="24"/>
        </w:rPr>
        <w:t>be</w:t>
      </w:r>
      <w:r>
        <w:rPr>
          <w:i/>
          <w:color w:val="231F20"/>
          <w:spacing w:val="23"/>
          <w:sz w:val="24"/>
        </w:rPr>
        <w:t> </w:t>
      </w:r>
      <w:r>
        <w:rPr>
          <w:i/>
          <w:color w:val="231F20"/>
          <w:sz w:val="24"/>
        </w:rPr>
        <w:t>held</w:t>
      </w:r>
      <w:r>
        <w:rPr>
          <w:i/>
          <w:color w:val="231F20"/>
          <w:spacing w:val="26"/>
          <w:sz w:val="24"/>
        </w:rPr>
        <w:t> </w:t>
      </w:r>
      <w:r>
        <w:rPr>
          <w:i/>
          <w:color w:val="231F20"/>
          <w:spacing w:val="-7"/>
          <w:sz w:val="24"/>
        </w:rPr>
        <w:t>at</w:t>
      </w:r>
    </w:p>
    <w:p>
      <w:pPr>
        <w:pStyle w:val="BodyText"/>
        <w:spacing w:line="20" w:lineRule="exact"/>
        <w:ind w:left="3700" w:right="-29"/>
        <w:rPr>
          <w:sz w:val="2"/>
        </w:rPr>
      </w:pPr>
      <w:r>
        <w:rPr>
          <w:sz w:val="2"/>
        </w:rPr>
        <w:pict>
          <v:group style="width:66pt;height:.5pt;mso-position-horizontal-relative:char;mso-position-vertical-relative:line" id="docshapegroup16" coordorigin="0,0" coordsize="1320,10">
            <v:line style="position:absolute" from="0,5" to="1320,5" stroked="true" strokeweight=".492pt" strokecolor="#221e1f">
              <v:stroke dashstyle="solid"/>
            </v:line>
          </v:group>
        </w:pict>
      </w:r>
      <w:r>
        <w:rPr>
          <w:sz w:val="2"/>
        </w:rPr>
      </w:r>
    </w:p>
    <w:p>
      <w:pPr>
        <w:tabs>
          <w:tab w:pos="3475" w:val="left" w:leader="none"/>
          <w:tab w:pos="4958" w:val="left" w:leader="none"/>
        </w:tabs>
        <w:spacing w:before="0"/>
        <w:ind w:left="475" w:right="39" w:firstLine="0"/>
        <w:jc w:val="both"/>
        <w:rPr>
          <w:i/>
          <w:sz w:val="24"/>
        </w:rPr>
      </w:pPr>
      <w:r>
        <w:rPr>
          <w:i/>
          <w:color w:val="231F20"/>
          <w:sz w:val="24"/>
          <w:u w:val="single" w:color="221E1F"/>
        </w:rPr>
        <w:tab/>
      </w:r>
      <w:r>
        <w:rPr>
          <w:i/>
          <w:color w:val="231F20"/>
          <w:sz w:val="24"/>
        </w:rPr>
        <w:t> at </w:t>
      </w:r>
      <w:r>
        <w:rPr>
          <w:i/>
          <w:color w:val="231F20"/>
          <w:sz w:val="24"/>
          <w:u w:val="single" w:color="221E1F"/>
        </w:rPr>
        <w:tab/>
      </w:r>
      <w:r>
        <w:rPr>
          <w:i/>
          <w:color w:val="231F20"/>
          <w:spacing w:val="-10"/>
          <w:sz w:val="24"/>
        </w:rPr>
        <w:t>,</w:t>
      </w:r>
      <w:r>
        <w:rPr>
          <w:i/>
          <w:color w:val="231F20"/>
          <w:spacing w:val="-10"/>
          <w:sz w:val="24"/>
        </w:rPr>
        <w:t> </w:t>
      </w:r>
      <w:r>
        <w:rPr>
          <w:i/>
          <w:color w:val="231F20"/>
          <w:sz w:val="24"/>
        </w:rPr>
        <w:t>a.m./p.m., or as indicated in the meeting</w:t>
      </w:r>
      <w:r>
        <w:rPr>
          <w:i/>
          <w:color w:val="231F20"/>
          <w:spacing w:val="40"/>
          <w:sz w:val="24"/>
        </w:rPr>
        <w:t> </w:t>
      </w:r>
      <w:r>
        <w:rPr>
          <w:i/>
          <w:color w:val="231F20"/>
          <w:spacing w:val="-2"/>
          <w:sz w:val="24"/>
        </w:rPr>
        <w:t>notice.</w:t>
      </w:r>
    </w:p>
    <w:p>
      <w:pPr>
        <w:pStyle w:val="BodyText"/>
        <w:spacing w:before="3"/>
        <w:rPr>
          <w:i/>
          <w:sz w:val="22"/>
        </w:rPr>
      </w:pPr>
    </w:p>
    <w:p>
      <w:pPr>
        <w:pStyle w:val="ListParagraph"/>
        <w:numPr>
          <w:ilvl w:val="0"/>
          <w:numId w:val="8"/>
        </w:numPr>
        <w:tabs>
          <w:tab w:pos="941" w:val="left" w:leader="none"/>
        </w:tabs>
        <w:spacing w:line="240" w:lineRule="auto" w:before="0" w:after="0"/>
        <w:ind w:left="475" w:right="39" w:firstLine="0"/>
        <w:jc w:val="both"/>
        <w:rPr>
          <w:i/>
          <w:color w:val="231F20"/>
          <w:sz w:val="24"/>
        </w:rPr>
      </w:pPr>
      <w:r>
        <w:rPr>
          <w:i/>
          <w:color w:val="231F20"/>
          <w:sz w:val="24"/>
        </w:rPr>
        <w:t>Unless otherwise specified, regular</w:t>
      </w:r>
      <w:r>
        <w:rPr>
          <w:i/>
          <w:color w:val="231F20"/>
          <w:sz w:val="24"/>
        </w:rPr>
        <w:t> meetings</w:t>
      </w:r>
      <w:r>
        <w:rPr>
          <w:i/>
          <w:color w:val="231F20"/>
          <w:spacing w:val="46"/>
          <w:sz w:val="24"/>
        </w:rPr>
        <w:t>  </w:t>
      </w:r>
      <w:r>
        <w:rPr>
          <w:i/>
          <w:color w:val="231F20"/>
          <w:sz w:val="24"/>
        </w:rPr>
        <w:t>shall</w:t>
      </w:r>
      <w:r>
        <w:rPr>
          <w:i/>
          <w:color w:val="231F20"/>
          <w:spacing w:val="47"/>
          <w:sz w:val="24"/>
        </w:rPr>
        <w:t>  </w:t>
      </w:r>
      <w:r>
        <w:rPr>
          <w:i/>
          <w:color w:val="231F20"/>
          <w:sz w:val="24"/>
        </w:rPr>
        <w:t>be</w:t>
      </w:r>
      <w:r>
        <w:rPr>
          <w:i/>
          <w:color w:val="231F20"/>
          <w:spacing w:val="46"/>
          <w:sz w:val="24"/>
        </w:rPr>
        <w:t>  </w:t>
      </w:r>
      <w:r>
        <w:rPr>
          <w:i/>
          <w:color w:val="231F20"/>
          <w:sz w:val="24"/>
        </w:rPr>
        <w:t>held</w:t>
      </w:r>
      <w:r>
        <w:rPr>
          <w:i/>
          <w:color w:val="231F20"/>
          <w:spacing w:val="47"/>
          <w:sz w:val="24"/>
        </w:rPr>
        <w:t>  </w:t>
      </w:r>
      <w:r>
        <w:rPr>
          <w:i/>
          <w:color w:val="231F20"/>
          <w:sz w:val="24"/>
        </w:rPr>
        <w:t>each</w:t>
      </w:r>
      <w:r>
        <w:rPr>
          <w:i/>
          <w:color w:val="231F20"/>
          <w:spacing w:val="47"/>
          <w:sz w:val="24"/>
        </w:rPr>
        <w:t>  </w:t>
      </w:r>
      <w:r>
        <w:rPr>
          <w:i/>
          <w:color w:val="231F20"/>
          <w:sz w:val="24"/>
        </w:rPr>
        <w:t>month</w:t>
      </w:r>
      <w:r>
        <w:rPr>
          <w:i/>
          <w:color w:val="231F20"/>
          <w:spacing w:val="154"/>
          <w:sz w:val="24"/>
        </w:rPr>
        <w:t> </w:t>
      </w:r>
      <w:r>
        <w:rPr>
          <w:i/>
          <w:color w:val="231F20"/>
          <w:spacing w:val="-5"/>
          <w:sz w:val="24"/>
        </w:rPr>
        <w:t>o</w:t>
      </w:r>
      <w:r>
        <w:rPr>
          <w:i/>
          <w:color w:val="231F20"/>
          <w:spacing w:val="-5"/>
          <w:sz w:val="24"/>
        </w:rPr>
        <w:t>n</w:t>
      </w:r>
    </w:p>
    <w:p>
      <w:pPr>
        <w:tabs>
          <w:tab w:pos="2035" w:val="left" w:leader="none"/>
          <w:tab w:pos="3645" w:val="left" w:leader="none"/>
        </w:tabs>
        <w:spacing w:before="0"/>
        <w:ind w:left="475" w:right="38" w:firstLine="0"/>
        <w:jc w:val="both"/>
        <w:rPr>
          <w:i/>
          <w:sz w:val="24"/>
        </w:rPr>
      </w:pPr>
      <w:r>
        <w:rPr>
          <w:i/>
          <w:color w:val="231F20"/>
          <w:sz w:val="24"/>
          <w:u w:val="single" w:color="221E1F"/>
        </w:rPr>
        <w:tab/>
      </w:r>
      <w:r>
        <w:rPr>
          <w:i/>
          <w:color w:val="231F20"/>
          <w:sz w:val="24"/>
        </w:rPr>
        <w:t>. The agenda will be available</w:t>
      </w:r>
      <w:r>
        <w:rPr>
          <w:i/>
          <w:color w:val="231F20"/>
          <w:sz w:val="24"/>
        </w:rPr>
        <w:t> at least seventy-two hours prior to the meeting from </w:t>
      </w:r>
      <w:r>
        <w:rPr>
          <w:i/>
          <w:color w:val="231F20"/>
          <w:sz w:val="24"/>
          <w:u w:val="single" w:color="221E1F"/>
        </w:rPr>
        <w:tab/>
        <w:tab/>
      </w:r>
      <w:r>
        <w:rPr>
          <w:i/>
          <w:color w:val="231F20"/>
          <w:spacing w:val="-15"/>
          <w:sz w:val="24"/>
          <w:u w:val="single" w:color="221E1F"/>
        </w:rPr>
        <w:t> </w:t>
      </w:r>
      <w:r>
        <w:rPr>
          <w:i/>
          <w:color w:val="231F20"/>
          <w:sz w:val="24"/>
        </w:rPr>
        <w:t>,</w:t>
      </w:r>
      <w:r>
        <w:rPr>
          <w:i/>
          <w:color w:val="231F20"/>
          <w:spacing w:val="-15"/>
          <w:sz w:val="24"/>
        </w:rPr>
        <w:t> </w:t>
      </w:r>
      <w:r>
        <w:rPr>
          <w:i/>
          <w:color w:val="231F20"/>
          <w:sz w:val="24"/>
        </w:rPr>
        <w:t>whose</w:t>
      </w:r>
      <w:r>
        <w:rPr>
          <w:i/>
          <w:color w:val="231F20"/>
          <w:spacing w:val="-5"/>
          <w:sz w:val="24"/>
        </w:rPr>
        <w:t> </w:t>
      </w:r>
      <w:r>
        <w:rPr>
          <w:i/>
          <w:color w:val="231F20"/>
          <w:sz w:val="24"/>
        </w:rPr>
        <w:t>office is located in</w:t>
      </w:r>
      <w:r>
        <w:rPr>
          <w:i/>
          <w:color w:val="231F20"/>
          <w:sz w:val="24"/>
          <w:u w:val="single" w:color="221E1F"/>
        </w:rPr>
        <w:tab/>
        <w:tab/>
      </w:r>
      <w:r>
        <w:rPr>
          <w:i/>
          <w:color w:val="231F20"/>
          <w:sz w:val="24"/>
        </w:rPr>
        <w:t>,</w:t>
      </w:r>
      <w:r>
        <w:rPr>
          <w:i/>
          <w:color w:val="231F20"/>
          <w:spacing w:val="-15"/>
          <w:sz w:val="24"/>
        </w:rPr>
        <w:t> </w:t>
      </w:r>
      <w:r>
        <w:rPr>
          <w:i/>
          <w:color w:val="231F20"/>
          <w:sz w:val="24"/>
        </w:rPr>
        <w:t>New</w:t>
      </w:r>
      <w:r>
        <w:rPr>
          <w:i/>
          <w:color w:val="231F20"/>
          <w:spacing w:val="-15"/>
          <w:sz w:val="24"/>
        </w:rPr>
        <w:t> </w:t>
      </w:r>
      <w:r>
        <w:rPr>
          <w:i/>
          <w:color w:val="231F20"/>
          <w:sz w:val="24"/>
        </w:rPr>
        <w:t>Mexico. The</w:t>
      </w:r>
      <w:r>
        <w:rPr>
          <w:i/>
          <w:color w:val="231F20"/>
          <w:spacing w:val="-1"/>
          <w:sz w:val="24"/>
        </w:rPr>
        <w:t> </w:t>
      </w:r>
      <w:r>
        <w:rPr>
          <w:i/>
          <w:color w:val="231F20"/>
          <w:sz w:val="24"/>
        </w:rPr>
        <w:t>agenda</w:t>
      </w:r>
      <w:r>
        <w:rPr>
          <w:i/>
          <w:color w:val="231F20"/>
          <w:spacing w:val="1"/>
          <w:sz w:val="24"/>
        </w:rPr>
        <w:t> </w:t>
      </w:r>
      <w:r>
        <w:rPr>
          <w:i/>
          <w:color w:val="231F20"/>
          <w:sz w:val="24"/>
        </w:rPr>
        <w:t>will</w:t>
      </w:r>
      <w:r>
        <w:rPr>
          <w:i/>
          <w:color w:val="231F20"/>
          <w:spacing w:val="1"/>
          <w:sz w:val="24"/>
        </w:rPr>
        <w:t> </w:t>
      </w:r>
      <w:r>
        <w:rPr>
          <w:i/>
          <w:color w:val="231F20"/>
          <w:sz w:val="24"/>
        </w:rPr>
        <w:t>also</w:t>
      </w:r>
      <w:r>
        <w:rPr>
          <w:i/>
          <w:color w:val="231F20"/>
          <w:spacing w:val="1"/>
          <w:sz w:val="24"/>
        </w:rPr>
        <w:t> </w:t>
      </w:r>
      <w:r>
        <w:rPr>
          <w:i/>
          <w:color w:val="231F20"/>
          <w:sz w:val="24"/>
        </w:rPr>
        <w:t>be</w:t>
      </w:r>
      <w:r>
        <w:rPr>
          <w:i/>
          <w:color w:val="231F20"/>
          <w:spacing w:val="5"/>
          <w:sz w:val="24"/>
        </w:rPr>
        <w:t> </w:t>
      </w:r>
      <w:r>
        <w:rPr>
          <w:i/>
          <w:color w:val="231F20"/>
          <w:sz w:val="24"/>
        </w:rPr>
        <w:t>posted at</w:t>
      </w:r>
      <w:r>
        <w:rPr>
          <w:i/>
          <w:color w:val="231F20"/>
          <w:spacing w:val="1"/>
          <w:sz w:val="24"/>
        </w:rPr>
        <w:t> </w:t>
      </w:r>
      <w:r>
        <w:rPr>
          <w:i/>
          <w:color w:val="231F20"/>
          <w:sz w:val="24"/>
        </w:rPr>
        <w:t>the offices</w:t>
      </w:r>
      <w:r>
        <w:rPr>
          <w:i/>
          <w:color w:val="231F20"/>
          <w:spacing w:val="4"/>
          <w:sz w:val="24"/>
        </w:rPr>
        <w:t> </w:t>
      </w:r>
      <w:r>
        <w:rPr>
          <w:i/>
          <w:color w:val="231F20"/>
          <w:spacing w:val="-5"/>
          <w:sz w:val="24"/>
        </w:rPr>
        <w:t>of</w:t>
      </w:r>
    </w:p>
    <w:p>
      <w:pPr>
        <w:tabs>
          <w:tab w:pos="2035" w:val="left" w:leader="none"/>
          <w:tab w:pos="5020" w:val="left" w:leader="none"/>
        </w:tabs>
        <w:spacing w:before="0"/>
        <w:ind w:left="475" w:right="0" w:firstLine="0"/>
        <w:jc w:val="both"/>
        <w:rPr>
          <w:i/>
          <w:sz w:val="24"/>
        </w:rPr>
      </w:pPr>
      <w:r>
        <w:rPr>
          <w:i/>
          <w:color w:val="231F20"/>
          <w:sz w:val="24"/>
          <w:u w:val="single" w:color="221E1F"/>
        </w:rPr>
        <w:tab/>
      </w:r>
      <w:r>
        <w:rPr>
          <w:i/>
          <w:color w:val="231F20"/>
          <w:spacing w:val="80"/>
          <w:w w:val="150"/>
          <w:sz w:val="24"/>
        </w:rPr>
        <w:t>  </w:t>
      </w:r>
      <w:r>
        <w:rPr>
          <w:i/>
          <w:color w:val="231F20"/>
          <w:sz w:val="24"/>
        </w:rPr>
        <w:t>and</w:t>
      </w:r>
      <w:r>
        <w:rPr>
          <w:i/>
          <w:color w:val="231F20"/>
          <w:spacing w:val="80"/>
          <w:w w:val="150"/>
          <w:sz w:val="24"/>
        </w:rPr>
        <w:t>  </w:t>
      </w:r>
      <w:r>
        <w:rPr>
          <w:i/>
          <w:color w:val="231F20"/>
          <w:sz w:val="24"/>
        </w:rPr>
        <w:t>on</w:t>
      </w:r>
      <w:r>
        <w:rPr>
          <w:i/>
          <w:color w:val="231F20"/>
          <w:spacing w:val="80"/>
          <w:w w:val="150"/>
          <w:sz w:val="24"/>
        </w:rPr>
        <w:t>  </w:t>
      </w:r>
      <w:r>
        <w:rPr>
          <w:i/>
          <w:color w:val="231F20"/>
          <w:sz w:val="24"/>
        </w:rPr>
        <w:t>the</w:t>
      </w:r>
      <w:r>
        <w:rPr>
          <w:i/>
          <w:color w:val="231F20"/>
          <w:spacing w:val="282"/>
          <w:sz w:val="24"/>
        </w:rPr>
        <w:t> </w:t>
      </w:r>
      <w:r>
        <w:rPr>
          <w:i/>
          <w:color w:val="231F20"/>
          <w:sz w:val="24"/>
          <w:u w:val="single" w:color="221E1F"/>
        </w:rPr>
        <w:tab/>
      </w:r>
    </w:p>
    <w:p>
      <w:pPr>
        <w:tabs>
          <w:tab w:pos="1435" w:val="left" w:leader="none"/>
          <w:tab w:pos="4437" w:val="left" w:leader="none"/>
        </w:tabs>
        <w:spacing w:before="0"/>
        <w:ind w:left="475" w:right="0" w:firstLine="0"/>
        <w:jc w:val="both"/>
        <w:rPr>
          <w:i/>
          <w:sz w:val="24"/>
        </w:rPr>
      </w:pPr>
      <w:r>
        <w:rPr>
          <w:i/>
          <w:color w:val="231F20"/>
          <w:sz w:val="24"/>
          <w:u w:val="single" w:color="221E1F"/>
        </w:rPr>
        <w:tab/>
      </w:r>
      <w:r>
        <w:rPr>
          <w:i/>
          <w:color w:val="231F20"/>
          <w:sz w:val="24"/>
        </w:rPr>
        <w:t>’s</w:t>
      </w:r>
      <w:r>
        <w:rPr>
          <w:i/>
          <w:color w:val="231F20"/>
          <w:spacing w:val="-2"/>
          <w:sz w:val="24"/>
        </w:rPr>
        <w:t> </w:t>
      </w:r>
      <w:r>
        <w:rPr>
          <w:i/>
          <w:color w:val="231F20"/>
          <w:sz w:val="24"/>
        </w:rPr>
        <w:t>website</w:t>
      </w:r>
      <w:r>
        <w:rPr>
          <w:i/>
          <w:color w:val="231F20"/>
          <w:spacing w:val="-3"/>
          <w:sz w:val="24"/>
        </w:rPr>
        <w:t> </w:t>
      </w:r>
      <w:r>
        <w:rPr>
          <w:i/>
          <w:color w:val="231F20"/>
          <w:sz w:val="24"/>
        </w:rPr>
        <w:t>at</w:t>
      </w:r>
      <w:r>
        <w:rPr>
          <w:i/>
          <w:color w:val="231F20"/>
          <w:spacing w:val="-2"/>
          <w:sz w:val="24"/>
        </w:rPr>
        <w:t> </w:t>
      </w:r>
      <w:hyperlink r:id="rId17">
        <w:r>
          <w:rPr>
            <w:i/>
            <w:color w:val="231F20"/>
            <w:spacing w:val="-4"/>
            <w:sz w:val="24"/>
          </w:rPr>
          <w:t>www.</w:t>
        </w:r>
      </w:hyperlink>
      <w:r>
        <w:rPr>
          <w:i/>
          <w:color w:val="231F20"/>
          <w:sz w:val="24"/>
          <w:u w:val="single" w:color="221E1F"/>
        </w:rPr>
        <w:tab/>
      </w:r>
      <w:r>
        <w:rPr>
          <w:i/>
          <w:color w:val="231F20"/>
          <w:spacing w:val="-10"/>
          <w:sz w:val="24"/>
        </w:rPr>
        <w:t>.</w:t>
      </w:r>
    </w:p>
    <w:p>
      <w:pPr>
        <w:pStyle w:val="BodyText"/>
        <w:rPr>
          <w:i/>
        </w:rPr>
      </w:pPr>
    </w:p>
    <w:p>
      <w:pPr>
        <w:pStyle w:val="ListParagraph"/>
        <w:numPr>
          <w:ilvl w:val="0"/>
          <w:numId w:val="8"/>
        </w:numPr>
        <w:tabs>
          <w:tab w:pos="732" w:val="left" w:leader="none"/>
        </w:tabs>
        <w:spacing w:line="240" w:lineRule="auto" w:before="1" w:after="0"/>
        <w:ind w:left="475" w:right="38" w:firstLine="0"/>
        <w:jc w:val="both"/>
        <w:rPr>
          <w:i/>
          <w:color w:val="231F20"/>
          <w:sz w:val="24"/>
        </w:rPr>
      </w:pPr>
      <w:r>
        <w:rPr>
          <w:i/>
          <w:color w:val="231F20"/>
          <w:sz w:val="24"/>
        </w:rPr>
        <w:t>Notice of regular meetings other than those</w:t>
      </w:r>
      <w:r>
        <w:rPr>
          <w:i/>
          <w:color w:val="231F20"/>
          <w:sz w:val="24"/>
        </w:rPr>
        <w:t> described in Paragraph 2 will be given ten days in advance of the meeting date. The</w:t>
      </w:r>
      <w:r>
        <w:rPr>
          <w:i/>
          <w:color w:val="231F20"/>
          <w:spacing w:val="40"/>
          <w:sz w:val="24"/>
        </w:rPr>
        <w:t> </w:t>
      </w:r>
      <w:r>
        <w:rPr>
          <w:i/>
          <w:color w:val="231F20"/>
          <w:sz w:val="24"/>
        </w:rPr>
        <w:t>notice will include a copy of the agenda or information on how a copy of the agenda may be obtained. If not included in the notice, the agenda will be available at least seventy-two hours</w:t>
      </w:r>
      <w:r>
        <w:rPr>
          <w:i/>
          <w:color w:val="231F20"/>
          <w:spacing w:val="40"/>
          <w:sz w:val="24"/>
        </w:rPr>
        <w:t> </w:t>
      </w:r>
      <w:r>
        <w:rPr>
          <w:i/>
          <w:color w:val="231F20"/>
          <w:sz w:val="24"/>
        </w:rPr>
        <w:t>before</w:t>
      </w:r>
      <w:r>
        <w:rPr>
          <w:i/>
          <w:color w:val="231F20"/>
          <w:spacing w:val="40"/>
          <w:sz w:val="24"/>
        </w:rPr>
        <w:t> </w:t>
      </w:r>
      <w:r>
        <w:rPr>
          <w:i/>
          <w:color w:val="231F20"/>
          <w:sz w:val="24"/>
        </w:rPr>
        <w:t>the</w:t>
      </w:r>
      <w:r>
        <w:rPr>
          <w:i/>
          <w:color w:val="231F20"/>
          <w:spacing w:val="40"/>
          <w:sz w:val="24"/>
        </w:rPr>
        <w:t> </w:t>
      </w:r>
      <w:r>
        <w:rPr>
          <w:i/>
          <w:color w:val="231F20"/>
          <w:sz w:val="24"/>
        </w:rPr>
        <w:t>meeting</w:t>
      </w:r>
      <w:r>
        <w:rPr>
          <w:i/>
          <w:color w:val="231F20"/>
          <w:spacing w:val="40"/>
          <w:sz w:val="24"/>
        </w:rPr>
        <w:t> </w:t>
      </w:r>
      <w:r>
        <w:rPr>
          <w:i/>
          <w:color w:val="231F20"/>
          <w:sz w:val="24"/>
        </w:rPr>
        <w:t>and</w:t>
      </w:r>
      <w:r>
        <w:rPr>
          <w:i/>
          <w:color w:val="231F20"/>
          <w:spacing w:val="40"/>
          <w:sz w:val="24"/>
        </w:rPr>
        <w:t> </w:t>
      </w:r>
      <w:r>
        <w:rPr>
          <w:i/>
          <w:color w:val="231F20"/>
          <w:sz w:val="24"/>
        </w:rPr>
        <w:t>posted</w:t>
      </w:r>
      <w:r>
        <w:rPr>
          <w:i/>
          <w:color w:val="231F20"/>
          <w:spacing w:val="40"/>
          <w:sz w:val="24"/>
        </w:rPr>
        <w:t> </w:t>
      </w:r>
      <w:r>
        <w:rPr>
          <w:i/>
          <w:color w:val="231F20"/>
          <w:sz w:val="24"/>
        </w:rPr>
        <w:t>on</w:t>
      </w:r>
      <w:r>
        <w:rPr>
          <w:i/>
          <w:color w:val="231F20"/>
          <w:spacing w:val="40"/>
          <w:sz w:val="24"/>
        </w:rPr>
        <w:t> </w:t>
      </w:r>
      <w:r>
        <w:rPr>
          <w:i/>
          <w:color w:val="231F20"/>
          <w:sz w:val="24"/>
        </w:rPr>
        <w:t>the</w:t>
      </w:r>
    </w:p>
    <w:p>
      <w:pPr>
        <w:tabs>
          <w:tab w:pos="1977" w:val="left" w:leader="none"/>
          <w:tab w:pos="3355" w:val="left" w:leader="none"/>
        </w:tabs>
        <w:spacing w:before="0"/>
        <w:ind w:left="475" w:right="44" w:firstLine="0"/>
        <w:jc w:val="both"/>
        <w:rPr>
          <w:i/>
          <w:sz w:val="24"/>
        </w:rPr>
      </w:pPr>
      <w:r>
        <w:rPr>
          <w:i/>
          <w:color w:val="231F20"/>
          <w:sz w:val="24"/>
          <w:u w:val="single" w:color="221E1F"/>
        </w:rPr>
        <w:tab/>
        <w:tab/>
      </w:r>
      <w:r>
        <w:rPr>
          <w:i/>
          <w:color w:val="231F20"/>
          <w:sz w:val="24"/>
        </w:rPr>
        <w:t>’s website </w:t>
      </w:r>
      <w:r>
        <w:rPr>
          <w:i/>
          <w:color w:val="231F20"/>
          <w:sz w:val="24"/>
        </w:rPr>
        <w:t>at</w:t>
      </w:r>
      <w:r>
        <w:rPr>
          <w:i/>
          <w:color w:val="231F20"/>
          <w:sz w:val="24"/>
        </w:rPr>
        <w:t> </w:t>
      </w:r>
      <w:hyperlink r:id="rId17">
        <w:r>
          <w:rPr>
            <w:i/>
            <w:color w:val="231F20"/>
            <w:spacing w:val="-4"/>
            <w:sz w:val="24"/>
          </w:rPr>
          <w:t>www.</w:t>
        </w:r>
      </w:hyperlink>
      <w:r>
        <w:rPr>
          <w:i/>
          <w:color w:val="231F20"/>
          <w:sz w:val="24"/>
          <w:u w:val="single" w:color="221E1F"/>
        </w:rPr>
        <w:tab/>
      </w:r>
      <w:r>
        <w:rPr>
          <w:i/>
          <w:color w:val="231F20"/>
          <w:spacing w:val="-10"/>
          <w:sz w:val="24"/>
        </w:rPr>
        <w:t>.</w:t>
      </w:r>
    </w:p>
    <w:p>
      <w:pPr>
        <w:spacing w:before="90"/>
        <w:ind w:left="475" w:right="736" w:firstLine="0"/>
        <w:jc w:val="both"/>
        <w:rPr>
          <w:i/>
          <w:sz w:val="24"/>
        </w:rPr>
      </w:pPr>
      <w:r>
        <w:rPr/>
        <w:br w:type="column"/>
      </w:r>
      <w:r>
        <w:rPr>
          <w:i/>
          <w:color w:val="231F20"/>
          <w:sz w:val="24"/>
        </w:rPr>
        <w:t>emergency meetings whenever possible.</w:t>
      </w:r>
      <w:r>
        <w:rPr>
          <w:i/>
          <w:color w:val="231F20"/>
          <w:sz w:val="24"/>
        </w:rPr>
        <w:t> Emergency meetings may be called by the Chairman or a majority of the members with twenty-four</w:t>
      </w:r>
      <w:r>
        <w:rPr>
          <w:i/>
          <w:color w:val="231F20"/>
          <w:spacing w:val="-1"/>
          <w:sz w:val="24"/>
        </w:rPr>
        <w:t> </w:t>
      </w:r>
      <w:r>
        <w:rPr>
          <w:i/>
          <w:color w:val="231F20"/>
          <w:sz w:val="24"/>
        </w:rPr>
        <w:t>hours</w:t>
      </w:r>
      <w:r>
        <w:rPr>
          <w:i/>
          <w:color w:val="231F20"/>
          <w:spacing w:val="-1"/>
          <w:sz w:val="24"/>
        </w:rPr>
        <w:t> </w:t>
      </w:r>
      <w:r>
        <w:rPr>
          <w:i/>
          <w:color w:val="231F20"/>
          <w:sz w:val="24"/>
        </w:rPr>
        <w:t>prior</w:t>
      </w:r>
      <w:r>
        <w:rPr>
          <w:i/>
          <w:color w:val="231F20"/>
          <w:spacing w:val="-1"/>
          <w:sz w:val="24"/>
        </w:rPr>
        <w:t> </w:t>
      </w:r>
      <w:r>
        <w:rPr>
          <w:i/>
          <w:color w:val="231F20"/>
          <w:sz w:val="24"/>
        </w:rPr>
        <w:t>notice,</w:t>
      </w:r>
      <w:r>
        <w:rPr>
          <w:i/>
          <w:color w:val="231F20"/>
          <w:spacing w:val="-2"/>
          <w:sz w:val="24"/>
        </w:rPr>
        <w:t> </w:t>
      </w:r>
      <w:r>
        <w:rPr>
          <w:i/>
          <w:color w:val="231F20"/>
          <w:sz w:val="24"/>
        </w:rPr>
        <w:t>unless</w:t>
      </w:r>
      <w:r>
        <w:rPr>
          <w:i/>
          <w:color w:val="231F20"/>
          <w:spacing w:val="-1"/>
          <w:sz w:val="24"/>
        </w:rPr>
        <w:t> </w:t>
      </w:r>
      <w:r>
        <w:rPr>
          <w:i/>
          <w:color w:val="231F20"/>
          <w:sz w:val="24"/>
        </w:rPr>
        <w:t>threat</w:t>
      </w:r>
      <w:r>
        <w:rPr>
          <w:i/>
          <w:color w:val="231F20"/>
          <w:spacing w:val="-1"/>
          <w:sz w:val="24"/>
        </w:rPr>
        <w:t> </w:t>
      </w:r>
      <w:r>
        <w:rPr>
          <w:i/>
          <w:color w:val="231F20"/>
          <w:sz w:val="24"/>
        </w:rPr>
        <w:t>of personal injury or property damage requires less notice. The notice for all emergency meetings shall include an agenda for the meeting or information </w:t>
      </w:r>
      <w:r>
        <w:rPr>
          <w:i/>
          <w:sz w:val="24"/>
        </w:rPr>
        <w:t>on how the public may obtain</w:t>
      </w:r>
      <w:r>
        <w:rPr>
          <w:i/>
          <w:spacing w:val="-4"/>
          <w:sz w:val="24"/>
        </w:rPr>
        <w:t> </w:t>
      </w:r>
      <w:r>
        <w:rPr>
          <w:i/>
          <w:sz w:val="24"/>
        </w:rPr>
        <w:t>a</w:t>
      </w:r>
      <w:r>
        <w:rPr>
          <w:i/>
          <w:spacing w:val="-4"/>
          <w:sz w:val="24"/>
        </w:rPr>
        <w:t> </w:t>
      </w:r>
      <w:r>
        <w:rPr>
          <w:i/>
          <w:sz w:val="24"/>
        </w:rPr>
        <w:t>copy</w:t>
      </w:r>
      <w:r>
        <w:rPr>
          <w:i/>
          <w:spacing w:val="-3"/>
          <w:sz w:val="24"/>
        </w:rPr>
        <w:t> </w:t>
      </w:r>
      <w:r>
        <w:rPr>
          <w:i/>
          <w:sz w:val="24"/>
        </w:rPr>
        <w:t>of</w:t>
      </w:r>
      <w:r>
        <w:rPr>
          <w:i/>
          <w:spacing w:val="-4"/>
          <w:sz w:val="24"/>
        </w:rPr>
        <w:t> </w:t>
      </w:r>
      <w:r>
        <w:rPr>
          <w:i/>
          <w:sz w:val="24"/>
        </w:rPr>
        <w:t>the</w:t>
      </w:r>
      <w:r>
        <w:rPr>
          <w:i/>
          <w:spacing w:val="-3"/>
          <w:sz w:val="24"/>
        </w:rPr>
        <w:t> </w:t>
      </w:r>
      <w:r>
        <w:rPr>
          <w:i/>
          <w:color w:val="231F20"/>
          <w:sz w:val="24"/>
        </w:rPr>
        <w:t>agenda.</w:t>
      </w:r>
      <w:r>
        <w:rPr>
          <w:i/>
          <w:color w:val="231F20"/>
          <w:spacing w:val="-2"/>
          <w:sz w:val="24"/>
        </w:rPr>
        <w:t> </w:t>
      </w:r>
      <w:r>
        <w:rPr>
          <w:i/>
          <w:color w:val="231F20"/>
          <w:sz w:val="24"/>
        </w:rPr>
        <w:t>Within</w:t>
      </w:r>
      <w:r>
        <w:rPr>
          <w:i/>
          <w:color w:val="231F20"/>
          <w:spacing w:val="-4"/>
          <w:sz w:val="24"/>
        </w:rPr>
        <w:t> </w:t>
      </w:r>
      <w:r>
        <w:rPr>
          <w:i/>
          <w:color w:val="231F20"/>
          <w:sz w:val="24"/>
        </w:rPr>
        <w:t>ten</w:t>
      </w:r>
      <w:r>
        <w:rPr>
          <w:i/>
          <w:color w:val="231F20"/>
          <w:spacing w:val="-4"/>
          <w:sz w:val="24"/>
        </w:rPr>
        <w:t> </w:t>
      </w:r>
      <w:r>
        <w:rPr>
          <w:i/>
          <w:color w:val="231F20"/>
          <w:sz w:val="24"/>
        </w:rPr>
        <w:t>days</w:t>
      </w:r>
      <w:r>
        <w:rPr>
          <w:i/>
          <w:color w:val="231F20"/>
          <w:spacing w:val="-4"/>
          <w:sz w:val="24"/>
        </w:rPr>
        <w:t> </w:t>
      </w:r>
      <w:r>
        <w:rPr>
          <w:i/>
          <w:color w:val="231F20"/>
          <w:sz w:val="24"/>
        </w:rPr>
        <w:t>of taking</w:t>
      </w:r>
      <w:r>
        <w:rPr>
          <w:i/>
          <w:color w:val="231F20"/>
          <w:spacing w:val="78"/>
          <w:sz w:val="24"/>
        </w:rPr>
        <w:t> </w:t>
      </w:r>
      <w:r>
        <w:rPr>
          <w:i/>
          <w:color w:val="231F20"/>
          <w:sz w:val="24"/>
        </w:rPr>
        <w:t>action</w:t>
      </w:r>
      <w:r>
        <w:rPr>
          <w:i/>
          <w:color w:val="231F20"/>
          <w:spacing w:val="79"/>
          <w:sz w:val="24"/>
        </w:rPr>
        <w:t> </w:t>
      </w:r>
      <w:r>
        <w:rPr>
          <w:i/>
          <w:color w:val="231F20"/>
          <w:sz w:val="24"/>
        </w:rPr>
        <w:t>on</w:t>
      </w:r>
      <w:r>
        <w:rPr>
          <w:i/>
          <w:color w:val="231F20"/>
          <w:spacing w:val="79"/>
          <w:sz w:val="24"/>
        </w:rPr>
        <w:t> </w:t>
      </w:r>
      <w:r>
        <w:rPr>
          <w:i/>
          <w:color w:val="231F20"/>
          <w:sz w:val="24"/>
        </w:rPr>
        <w:t>an</w:t>
      </w:r>
      <w:r>
        <w:rPr>
          <w:i/>
          <w:color w:val="231F20"/>
          <w:spacing w:val="77"/>
          <w:sz w:val="24"/>
        </w:rPr>
        <w:t> </w:t>
      </w:r>
      <w:r>
        <w:rPr>
          <w:i/>
          <w:color w:val="231F20"/>
          <w:sz w:val="24"/>
        </w:rPr>
        <w:t>emergency</w:t>
      </w:r>
      <w:r>
        <w:rPr>
          <w:i/>
          <w:color w:val="231F20"/>
          <w:spacing w:val="78"/>
          <w:sz w:val="24"/>
        </w:rPr>
        <w:t> </w:t>
      </w:r>
      <w:r>
        <w:rPr>
          <w:i/>
          <w:color w:val="231F20"/>
          <w:sz w:val="24"/>
        </w:rPr>
        <w:t>matter,</w:t>
      </w:r>
      <w:r>
        <w:rPr>
          <w:i/>
          <w:color w:val="231F20"/>
          <w:spacing w:val="79"/>
          <w:sz w:val="24"/>
        </w:rPr>
        <w:t> </w:t>
      </w:r>
      <w:r>
        <w:rPr>
          <w:i/>
          <w:color w:val="231F20"/>
          <w:spacing w:val="-5"/>
          <w:sz w:val="24"/>
        </w:rPr>
        <w:t>the</w:t>
      </w:r>
    </w:p>
    <w:p>
      <w:pPr>
        <w:tabs>
          <w:tab w:pos="2035" w:val="left" w:leader="none"/>
        </w:tabs>
        <w:spacing w:before="0"/>
        <w:ind w:left="475" w:right="736" w:firstLine="0"/>
        <w:jc w:val="both"/>
        <w:rPr>
          <w:i/>
          <w:sz w:val="24"/>
        </w:rPr>
      </w:pPr>
      <w:r>
        <w:rPr>
          <w:i/>
          <w:color w:val="231F20"/>
          <w:sz w:val="24"/>
          <w:u w:val="single" w:color="221E1F"/>
        </w:rPr>
        <w:tab/>
      </w:r>
      <w:r>
        <w:rPr>
          <w:i/>
          <w:color w:val="231F20"/>
          <w:sz w:val="24"/>
        </w:rPr>
        <w:t> will notify the </w:t>
      </w:r>
      <w:r>
        <w:rPr>
          <w:i/>
          <w:color w:val="231F20"/>
          <w:sz w:val="24"/>
        </w:rPr>
        <w:t>Attorney</w:t>
      </w:r>
      <w:r>
        <w:rPr>
          <w:i/>
          <w:color w:val="231F20"/>
          <w:sz w:val="24"/>
        </w:rPr>
        <w:t> General’s Office.</w:t>
      </w:r>
    </w:p>
    <w:p>
      <w:pPr>
        <w:pStyle w:val="BodyText"/>
        <w:rPr>
          <w:i/>
        </w:rPr>
      </w:pPr>
    </w:p>
    <w:p>
      <w:pPr>
        <w:pStyle w:val="ListParagraph"/>
        <w:numPr>
          <w:ilvl w:val="0"/>
          <w:numId w:val="9"/>
        </w:numPr>
        <w:tabs>
          <w:tab w:pos="836" w:val="left" w:leader="none"/>
        </w:tabs>
        <w:spacing w:line="240" w:lineRule="auto" w:before="0" w:after="0"/>
        <w:ind w:left="475" w:right="734" w:firstLine="0"/>
        <w:jc w:val="both"/>
        <w:rPr>
          <w:i/>
          <w:sz w:val="24"/>
        </w:rPr>
      </w:pPr>
      <w:r>
        <w:rPr>
          <w:i/>
          <w:color w:val="231F20"/>
          <w:sz w:val="24"/>
        </w:rPr>
        <w:t>For the purposes of regular meetings</w:t>
      </w:r>
      <w:r>
        <w:rPr>
          <w:i/>
          <w:color w:val="231F20"/>
          <w:sz w:val="24"/>
        </w:rPr>
        <w:t> described in Paragraph 3 of this resolution, notice requirements are met if notice of the date, time, place and agenda is placed in newspapers of general circulation in the state and</w:t>
      </w:r>
      <w:r>
        <w:rPr>
          <w:i/>
          <w:color w:val="231F20"/>
          <w:spacing w:val="60"/>
          <w:sz w:val="24"/>
        </w:rPr>
        <w:t>  </w:t>
      </w:r>
      <w:r>
        <w:rPr>
          <w:i/>
          <w:color w:val="231F20"/>
          <w:sz w:val="24"/>
        </w:rPr>
        <w:t>posted</w:t>
      </w:r>
      <w:r>
        <w:rPr>
          <w:i/>
          <w:color w:val="231F20"/>
          <w:spacing w:val="61"/>
          <w:sz w:val="24"/>
        </w:rPr>
        <w:t>  </w:t>
      </w:r>
      <w:r>
        <w:rPr>
          <w:i/>
          <w:color w:val="231F20"/>
          <w:sz w:val="24"/>
        </w:rPr>
        <w:t>in</w:t>
      </w:r>
      <w:r>
        <w:rPr>
          <w:i/>
          <w:color w:val="231F20"/>
          <w:spacing w:val="60"/>
          <w:sz w:val="24"/>
        </w:rPr>
        <w:t>  </w:t>
      </w:r>
      <w:r>
        <w:rPr>
          <w:i/>
          <w:color w:val="231F20"/>
          <w:sz w:val="24"/>
        </w:rPr>
        <w:t>the</w:t>
      </w:r>
      <w:r>
        <w:rPr>
          <w:i/>
          <w:color w:val="231F20"/>
          <w:spacing w:val="59"/>
          <w:sz w:val="24"/>
        </w:rPr>
        <w:t>  </w:t>
      </w:r>
      <w:r>
        <w:rPr>
          <w:i/>
          <w:color w:val="231F20"/>
          <w:sz w:val="24"/>
        </w:rPr>
        <w:t>following</w:t>
      </w:r>
      <w:r>
        <w:rPr>
          <w:i/>
          <w:color w:val="231F20"/>
          <w:spacing w:val="60"/>
          <w:sz w:val="24"/>
        </w:rPr>
        <w:t>  </w:t>
      </w:r>
      <w:r>
        <w:rPr>
          <w:i/>
          <w:color w:val="231F20"/>
          <w:spacing w:val="-2"/>
          <w:sz w:val="24"/>
        </w:rPr>
        <w:t>locations:</w:t>
      </w:r>
    </w:p>
    <w:p>
      <w:pPr>
        <w:tabs>
          <w:tab w:pos="2995" w:val="left" w:leader="none"/>
        </w:tabs>
        <w:spacing w:before="0"/>
        <w:ind w:left="475" w:right="735" w:firstLine="0"/>
        <w:jc w:val="both"/>
        <w:rPr>
          <w:i/>
          <w:sz w:val="24"/>
        </w:rPr>
      </w:pPr>
      <w:r>
        <w:rPr>
          <w:i/>
          <w:color w:val="231F20"/>
          <w:sz w:val="24"/>
          <w:u w:val="single" w:color="221E1F"/>
        </w:rPr>
        <w:tab/>
      </w:r>
      <w:r>
        <w:rPr>
          <w:i/>
          <w:color w:val="231F20"/>
          <w:sz w:val="24"/>
        </w:rPr>
        <w:t>. Copies of </w:t>
      </w:r>
      <w:r>
        <w:rPr>
          <w:i/>
          <w:color w:val="231F20"/>
          <w:sz w:val="24"/>
        </w:rPr>
        <w:t>the</w:t>
      </w:r>
      <w:r>
        <w:rPr>
          <w:i/>
          <w:color w:val="231F20"/>
          <w:sz w:val="24"/>
        </w:rPr>
        <w:t> written notice shall also be mailed to those broadcast stations licensed by the Federal Communications Commission and newspapers of</w:t>
      </w:r>
      <w:r>
        <w:rPr>
          <w:i/>
          <w:color w:val="231F20"/>
          <w:spacing w:val="-5"/>
          <w:sz w:val="24"/>
        </w:rPr>
        <w:t> </w:t>
      </w:r>
      <w:r>
        <w:rPr>
          <w:i/>
          <w:color w:val="231F20"/>
          <w:sz w:val="24"/>
        </w:rPr>
        <w:t>general</w:t>
      </w:r>
      <w:r>
        <w:rPr>
          <w:i/>
          <w:color w:val="231F20"/>
          <w:spacing w:val="-5"/>
          <w:sz w:val="24"/>
        </w:rPr>
        <w:t> </w:t>
      </w:r>
      <w:r>
        <w:rPr>
          <w:i/>
          <w:color w:val="231F20"/>
          <w:sz w:val="24"/>
        </w:rPr>
        <w:t>circulation</w:t>
      </w:r>
      <w:r>
        <w:rPr>
          <w:i/>
          <w:color w:val="231F20"/>
          <w:spacing w:val="-5"/>
          <w:sz w:val="24"/>
        </w:rPr>
        <w:t> </w:t>
      </w:r>
      <w:r>
        <w:rPr>
          <w:i/>
          <w:color w:val="231F20"/>
          <w:sz w:val="24"/>
        </w:rPr>
        <w:t>that</w:t>
      </w:r>
      <w:r>
        <w:rPr>
          <w:i/>
          <w:color w:val="231F20"/>
          <w:spacing w:val="-5"/>
          <w:sz w:val="24"/>
        </w:rPr>
        <w:t> </w:t>
      </w:r>
      <w:r>
        <w:rPr>
          <w:i/>
          <w:color w:val="231F20"/>
          <w:sz w:val="24"/>
        </w:rPr>
        <w:t>have</w:t>
      </w:r>
      <w:r>
        <w:rPr>
          <w:i/>
          <w:color w:val="231F20"/>
          <w:spacing w:val="-6"/>
          <w:sz w:val="24"/>
        </w:rPr>
        <w:t> </w:t>
      </w:r>
      <w:r>
        <w:rPr>
          <w:i/>
          <w:color w:val="231F20"/>
          <w:sz w:val="24"/>
        </w:rPr>
        <w:t>made</w:t>
      </w:r>
      <w:r>
        <w:rPr>
          <w:i/>
          <w:color w:val="231F20"/>
          <w:spacing w:val="-6"/>
          <w:sz w:val="24"/>
        </w:rPr>
        <w:t> </w:t>
      </w:r>
      <w:r>
        <w:rPr>
          <w:i/>
          <w:color w:val="231F20"/>
          <w:sz w:val="24"/>
        </w:rPr>
        <w:t>a</w:t>
      </w:r>
      <w:r>
        <w:rPr>
          <w:i/>
          <w:color w:val="231F20"/>
          <w:spacing w:val="-5"/>
          <w:sz w:val="24"/>
        </w:rPr>
        <w:t> </w:t>
      </w:r>
      <w:r>
        <w:rPr>
          <w:i/>
          <w:color w:val="231F20"/>
          <w:sz w:val="24"/>
        </w:rPr>
        <w:t>written request for notice of public meetings.</w:t>
      </w:r>
    </w:p>
    <w:p>
      <w:pPr>
        <w:pStyle w:val="BodyText"/>
        <w:rPr>
          <w:i/>
        </w:rPr>
      </w:pPr>
    </w:p>
    <w:p>
      <w:pPr>
        <w:pStyle w:val="ListParagraph"/>
        <w:numPr>
          <w:ilvl w:val="0"/>
          <w:numId w:val="9"/>
        </w:numPr>
        <w:tabs>
          <w:tab w:pos="764" w:val="left" w:leader="none"/>
        </w:tabs>
        <w:spacing w:line="240" w:lineRule="auto" w:before="0" w:after="0"/>
        <w:ind w:left="475" w:right="736" w:firstLine="0"/>
        <w:jc w:val="both"/>
        <w:rPr>
          <w:i/>
          <w:sz w:val="24"/>
        </w:rPr>
      </w:pPr>
      <w:r>
        <w:rPr>
          <w:i/>
          <w:color w:val="231F20"/>
          <w:sz w:val="24"/>
        </w:rPr>
        <w:t>For the purposes of special meetings and</w:t>
      </w:r>
      <w:r>
        <w:rPr>
          <w:i/>
          <w:color w:val="231F20"/>
          <w:sz w:val="24"/>
        </w:rPr>
        <w:t> emergency meetings described in Paragraphs</w:t>
      </w:r>
      <w:r>
        <w:rPr>
          <w:i/>
          <w:color w:val="231F20"/>
          <w:spacing w:val="40"/>
          <w:sz w:val="24"/>
        </w:rPr>
        <w:t> </w:t>
      </w:r>
      <w:r>
        <w:rPr>
          <w:i/>
          <w:color w:val="231F20"/>
          <w:sz w:val="24"/>
        </w:rPr>
        <w:t>4 and 5, notice requirements are met if notice of the</w:t>
      </w:r>
      <w:r>
        <w:rPr>
          <w:i/>
          <w:color w:val="231F20"/>
          <w:spacing w:val="-1"/>
          <w:sz w:val="24"/>
        </w:rPr>
        <w:t> </w:t>
      </w:r>
      <w:r>
        <w:rPr>
          <w:i/>
          <w:color w:val="231F20"/>
          <w:sz w:val="24"/>
        </w:rPr>
        <w:t>date, time, place</w:t>
      </w:r>
      <w:r>
        <w:rPr>
          <w:i/>
          <w:color w:val="231F20"/>
          <w:spacing w:val="-1"/>
          <w:sz w:val="24"/>
        </w:rPr>
        <w:t> </w:t>
      </w:r>
      <w:r>
        <w:rPr>
          <w:i/>
          <w:color w:val="231F20"/>
          <w:sz w:val="24"/>
        </w:rPr>
        <w:t>and agenda is provided by telephone to newspapers of general circulation</w:t>
      </w:r>
      <w:r>
        <w:rPr>
          <w:i/>
          <w:color w:val="231F20"/>
          <w:spacing w:val="64"/>
          <w:w w:val="150"/>
          <w:sz w:val="24"/>
        </w:rPr>
        <w:t> </w:t>
      </w:r>
      <w:r>
        <w:rPr>
          <w:i/>
          <w:color w:val="231F20"/>
          <w:sz w:val="24"/>
        </w:rPr>
        <w:t>in</w:t>
      </w:r>
      <w:r>
        <w:rPr>
          <w:i/>
          <w:color w:val="231F20"/>
          <w:spacing w:val="65"/>
          <w:w w:val="150"/>
          <w:sz w:val="24"/>
        </w:rPr>
        <w:t> </w:t>
      </w:r>
      <w:r>
        <w:rPr>
          <w:i/>
          <w:color w:val="231F20"/>
          <w:sz w:val="24"/>
        </w:rPr>
        <w:t>the</w:t>
      </w:r>
      <w:r>
        <w:rPr>
          <w:i/>
          <w:color w:val="231F20"/>
          <w:spacing w:val="64"/>
          <w:w w:val="150"/>
          <w:sz w:val="24"/>
        </w:rPr>
        <w:t> </w:t>
      </w:r>
      <w:r>
        <w:rPr>
          <w:i/>
          <w:color w:val="231F20"/>
          <w:sz w:val="24"/>
        </w:rPr>
        <w:t>state</w:t>
      </w:r>
      <w:r>
        <w:rPr>
          <w:i/>
          <w:color w:val="231F20"/>
          <w:spacing w:val="61"/>
          <w:w w:val="150"/>
          <w:sz w:val="24"/>
        </w:rPr>
        <w:t> </w:t>
      </w:r>
      <w:r>
        <w:rPr>
          <w:i/>
          <w:color w:val="231F20"/>
          <w:sz w:val="24"/>
        </w:rPr>
        <w:t>and</w:t>
      </w:r>
      <w:r>
        <w:rPr>
          <w:i/>
          <w:color w:val="231F20"/>
          <w:spacing w:val="65"/>
          <w:w w:val="150"/>
          <w:sz w:val="24"/>
        </w:rPr>
        <w:t> </w:t>
      </w:r>
      <w:r>
        <w:rPr>
          <w:i/>
          <w:color w:val="231F20"/>
          <w:sz w:val="24"/>
        </w:rPr>
        <w:t>posted</w:t>
      </w:r>
      <w:r>
        <w:rPr>
          <w:i/>
          <w:color w:val="231F20"/>
          <w:spacing w:val="64"/>
          <w:w w:val="150"/>
          <w:sz w:val="24"/>
        </w:rPr>
        <w:t> </w:t>
      </w:r>
      <w:r>
        <w:rPr>
          <w:i/>
          <w:color w:val="231F20"/>
          <w:sz w:val="24"/>
        </w:rPr>
        <w:t>in</w:t>
      </w:r>
      <w:r>
        <w:rPr>
          <w:i/>
          <w:color w:val="231F20"/>
          <w:spacing w:val="95"/>
          <w:sz w:val="24"/>
        </w:rPr>
        <w:t> </w:t>
      </w:r>
      <w:r>
        <w:rPr>
          <w:i/>
          <w:color w:val="231F20"/>
          <w:spacing w:val="-5"/>
          <w:sz w:val="24"/>
        </w:rPr>
        <w:t>th</w:t>
      </w:r>
      <w:r>
        <w:rPr>
          <w:i/>
          <w:color w:val="231F20"/>
          <w:spacing w:val="-5"/>
          <w:sz w:val="24"/>
        </w:rPr>
        <w:t>e</w:t>
      </w:r>
    </w:p>
    <w:p>
      <w:pPr>
        <w:spacing w:after="0" w:line="240" w:lineRule="auto"/>
        <w:jc w:val="both"/>
        <w:rPr>
          <w:sz w:val="24"/>
        </w:rPr>
        <w:sectPr>
          <w:type w:val="continuous"/>
          <w:pgSz w:w="12240" w:h="15840"/>
          <w:pgMar w:header="660" w:footer="484" w:top="480" w:bottom="280" w:left="360" w:right="240"/>
          <w:cols w:num="2" w:equalWidth="0">
            <w:col w:w="5062" w:space="820"/>
            <w:col w:w="5758"/>
          </w:cols>
        </w:sectPr>
      </w:pPr>
    </w:p>
    <w:p>
      <w:pPr>
        <w:pStyle w:val="ListParagraph"/>
        <w:numPr>
          <w:ilvl w:val="0"/>
          <w:numId w:val="8"/>
        </w:numPr>
        <w:tabs>
          <w:tab w:pos="809" w:val="left" w:leader="none"/>
        </w:tabs>
        <w:spacing w:line="240" w:lineRule="auto" w:before="0" w:after="0"/>
        <w:ind w:left="808" w:right="0" w:hanging="334"/>
        <w:jc w:val="left"/>
        <w:rPr>
          <w:i/>
          <w:color w:val="231F20"/>
          <w:sz w:val="24"/>
        </w:rPr>
      </w:pPr>
      <w:r>
        <w:rPr>
          <w:i/>
          <w:color w:val="231F20"/>
          <w:sz w:val="24"/>
        </w:rPr>
        <w:t>Special</w:t>
      </w:r>
      <w:r>
        <w:rPr>
          <w:i/>
          <w:color w:val="231F20"/>
          <w:spacing w:val="61"/>
          <w:w w:val="150"/>
          <w:sz w:val="24"/>
        </w:rPr>
        <w:t> </w:t>
      </w:r>
      <w:r>
        <w:rPr>
          <w:i/>
          <w:color w:val="231F20"/>
          <w:sz w:val="24"/>
        </w:rPr>
        <w:t>meetings</w:t>
      </w:r>
      <w:r>
        <w:rPr>
          <w:i/>
          <w:color w:val="231F20"/>
          <w:spacing w:val="61"/>
          <w:w w:val="150"/>
          <w:sz w:val="24"/>
        </w:rPr>
        <w:t> </w:t>
      </w:r>
      <w:r>
        <w:rPr>
          <w:i/>
          <w:color w:val="231F20"/>
          <w:sz w:val="24"/>
        </w:rPr>
        <w:t>may</w:t>
      </w:r>
      <w:r>
        <w:rPr>
          <w:i/>
          <w:color w:val="231F20"/>
          <w:spacing w:val="59"/>
          <w:w w:val="150"/>
          <w:sz w:val="24"/>
        </w:rPr>
        <w:t> </w:t>
      </w:r>
      <w:r>
        <w:rPr>
          <w:i/>
          <w:color w:val="231F20"/>
          <w:sz w:val="24"/>
        </w:rPr>
        <w:t>be</w:t>
      </w:r>
      <w:r>
        <w:rPr>
          <w:i/>
          <w:color w:val="231F20"/>
          <w:spacing w:val="60"/>
          <w:w w:val="150"/>
          <w:sz w:val="24"/>
        </w:rPr>
        <w:t> </w:t>
      </w:r>
      <w:r>
        <w:rPr>
          <w:i/>
          <w:color w:val="231F20"/>
          <w:sz w:val="24"/>
        </w:rPr>
        <w:t>called</w:t>
      </w:r>
      <w:r>
        <w:rPr>
          <w:i/>
          <w:color w:val="231F20"/>
          <w:spacing w:val="60"/>
          <w:w w:val="150"/>
          <w:sz w:val="24"/>
        </w:rPr>
        <w:t> </w:t>
      </w:r>
      <w:r>
        <w:rPr>
          <w:i/>
          <w:color w:val="231F20"/>
          <w:sz w:val="24"/>
        </w:rPr>
        <w:t>by</w:t>
      </w:r>
      <w:r>
        <w:rPr>
          <w:i/>
          <w:color w:val="231F20"/>
          <w:spacing w:val="60"/>
          <w:w w:val="150"/>
          <w:sz w:val="24"/>
        </w:rPr>
        <w:t> </w:t>
      </w:r>
      <w:r>
        <w:rPr>
          <w:i/>
          <w:color w:val="231F20"/>
          <w:spacing w:val="-5"/>
          <w:sz w:val="24"/>
        </w:rPr>
        <w:t>the</w:t>
      </w:r>
    </w:p>
    <w:p>
      <w:pPr>
        <w:spacing w:before="0"/>
        <w:ind w:left="475" w:right="0" w:firstLine="0"/>
        <w:jc w:val="left"/>
        <w:rPr>
          <w:i/>
          <w:sz w:val="24"/>
        </w:rPr>
      </w:pPr>
      <w:r>
        <w:rPr/>
        <w:br w:type="column"/>
      </w:r>
      <w:r>
        <w:rPr>
          <w:i/>
          <w:color w:val="231F20"/>
          <w:sz w:val="24"/>
        </w:rPr>
        <w:t>offices</w:t>
      </w:r>
      <w:r>
        <w:rPr>
          <w:i/>
          <w:color w:val="231F20"/>
          <w:spacing w:val="69"/>
          <w:sz w:val="24"/>
        </w:rPr>
        <w:t> </w:t>
      </w:r>
      <w:r>
        <w:rPr>
          <w:i/>
          <w:color w:val="231F20"/>
          <w:spacing w:val="-5"/>
          <w:sz w:val="24"/>
        </w:rPr>
        <w:t>of</w:t>
      </w:r>
    </w:p>
    <w:p>
      <w:pPr>
        <w:tabs>
          <w:tab w:pos="1649" w:val="left" w:leader="none"/>
        </w:tabs>
        <w:spacing w:before="0"/>
        <w:ind w:left="92" w:right="0" w:firstLine="0"/>
        <w:jc w:val="left"/>
        <w:rPr>
          <w:i/>
          <w:sz w:val="24"/>
        </w:rPr>
      </w:pPr>
      <w:r>
        <w:rPr/>
        <w:br w:type="column"/>
      </w:r>
      <w:r>
        <w:rPr>
          <w:i/>
          <w:color w:val="231F20"/>
          <w:sz w:val="24"/>
          <w:u w:val="single" w:color="221E1F"/>
        </w:rPr>
        <w:tab/>
      </w:r>
      <w:r>
        <w:rPr>
          <w:i/>
          <w:color w:val="231F20"/>
          <w:sz w:val="24"/>
        </w:rPr>
        <w:t>.</w:t>
      </w:r>
      <w:r>
        <w:rPr>
          <w:i/>
          <w:color w:val="231F20"/>
          <w:spacing w:val="70"/>
          <w:sz w:val="24"/>
        </w:rPr>
        <w:t> </w:t>
      </w:r>
      <w:r>
        <w:rPr>
          <w:i/>
          <w:color w:val="231F20"/>
          <w:sz w:val="24"/>
        </w:rPr>
        <w:t>Telephone</w:t>
      </w:r>
      <w:r>
        <w:rPr>
          <w:i/>
          <w:color w:val="231F20"/>
          <w:spacing w:val="69"/>
          <w:sz w:val="24"/>
        </w:rPr>
        <w:t> </w:t>
      </w:r>
      <w:r>
        <w:rPr>
          <w:i/>
          <w:color w:val="231F20"/>
          <w:spacing w:val="-2"/>
          <w:sz w:val="24"/>
        </w:rPr>
        <w:t>notice</w:t>
      </w:r>
    </w:p>
    <w:p>
      <w:pPr>
        <w:spacing w:after="0"/>
        <w:jc w:val="left"/>
        <w:rPr>
          <w:sz w:val="24"/>
        </w:rPr>
        <w:sectPr>
          <w:type w:val="continuous"/>
          <w:pgSz w:w="12240" w:h="15840"/>
          <w:pgMar w:header="660" w:footer="484" w:top="480" w:bottom="280" w:left="360" w:right="240"/>
          <w:cols w:num="3" w:equalWidth="0">
            <w:col w:w="5057" w:space="825"/>
            <w:col w:w="1421" w:space="40"/>
            <w:col w:w="4297"/>
          </w:cols>
        </w:sectPr>
      </w:pPr>
    </w:p>
    <w:p>
      <w:pPr>
        <w:spacing w:line="240" w:lineRule="auto" w:before="0"/>
        <w:ind w:left="475" w:right="38" w:firstLine="0"/>
        <w:jc w:val="both"/>
        <w:rPr>
          <w:i/>
          <w:sz w:val="24"/>
        </w:rPr>
      </w:pPr>
      <w:r>
        <w:rPr>
          <w:i/>
          <w:color w:val="231F20"/>
          <w:sz w:val="24"/>
        </w:rPr>
        <w:t>Chairman or a majority of the members upon</w:t>
      </w:r>
      <w:r>
        <w:rPr>
          <w:i/>
          <w:color w:val="231F20"/>
          <w:sz w:val="24"/>
        </w:rPr>
        <w:t> three days notice. The notice for a special meeting shall include an agenda for </w:t>
      </w:r>
      <w:r>
        <w:rPr>
          <w:i/>
          <w:color w:val="231F20"/>
          <w:sz w:val="24"/>
        </w:rPr>
        <w:t>the meeting or information on how a copy of the agenda may be obtained a copy of the agenda. The agenda will be available at least seventy- two</w:t>
      </w:r>
      <w:r>
        <w:rPr>
          <w:i/>
          <w:color w:val="231F20"/>
          <w:spacing w:val="46"/>
          <w:sz w:val="24"/>
        </w:rPr>
        <w:t> </w:t>
      </w:r>
      <w:r>
        <w:rPr>
          <w:i/>
          <w:color w:val="231F20"/>
          <w:sz w:val="24"/>
        </w:rPr>
        <w:t>hours</w:t>
      </w:r>
      <w:r>
        <w:rPr>
          <w:i/>
          <w:color w:val="231F20"/>
          <w:spacing w:val="46"/>
          <w:sz w:val="24"/>
        </w:rPr>
        <w:t> </w:t>
      </w:r>
      <w:r>
        <w:rPr>
          <w:i/>
          <w:color w:val="231F20"/>
          <w:sz w:val="24"/>
        </w:rPr>
        <w:t>before</w:t>
      </w:r>
      <w:r>
        <w:rPr>
          <w:i/>
          <w:color w:val="231F20"/>
          <w:spacing w:val="45"/>
          <w:sz w:val="24"/>
        </w:rPr>
        <w:t> </w:t>
      </w:r>
      <w:r>
        <w:rPr>
          <w:i/>
          <w:color w:val="231F20"/>
          <w:sz w:val="24"/>
        </w:rPr>
        <w:t>the</w:t>
      </w:r>
      <w:r>
        <w:rPr>
          <w:i/>
          <w:color w:val="231F20"/>
          <w:spacing w:val="45"/>
          <w:sz w:val="24"/>
        </w:rPr>
        <w:t> </w:t>
      </w:r>
      <w:r>
        <w:rPr>
          <w:i/>
          <w:color w:val="231F20"/>
          <w:sz w:val="24"/>
        </w:rPr>
        <w:t>meeting</w:t>
      </w:r>
      <w:r>
        <w:rPr>
          <w:i/>
          <w:color w:val="231F20"/>
          <w:spacing w:val="46"/>
          <w:sz w:val="24"/>
        </w:rPr>
        <w:t> </w:t>
      </w:r>
      <w:r>
        <w:rPr>
          <w:i/>
          <w:color w:val="231F20"/>
          <w:sz w:val="24"/>
        </w:rPr>
        <w:t>and</w:t>
      </w:r>
      <w:r>
        <w:rPr>
          <w:i/>
          <w:color w:val="231F20"/>
          <w:spacing w:val="46"/>
          <w:sz w:val="24"/>
        </w:rPr>
        <w:t> </w:t>
      </w:r>
      <w:r>
        <w:rPr>
          <w:i/>
          <w:color w:val="231F20"/>
          <w:sz w:val="24"/>
        </w:rPr>
        <w:t>posted</w:t>
      </w:r>
      <w:r>
        <w:rPr>
          <w:i/>
          <w:color w:val="231F20"/>
          <w:spacing w:val="46"/>
          <w:sz w:val="24"/>
        </w:rPr>
        <w:t> </w:t>
      </w:r>
      <w:r>
        <w:rPr>
          <w:i/>
          <w:color w:val="231F20"/>
          <w:spacing w:val="-5"/>
          <w:sz w:val="24"/>
        </w:rPr>
        <w:t>on</w:t>
      </w:r>
    </w:p>
    <w:p>
      <w:pPr>
        <w:spacing w:line="240" w:lineRule="auto" w:before="0"/>
        <w:ind w:left="475" w:right="735" w:firstLine="0"/>
        <w:jc w:val="both"/>
        <w:rPr>
          <w:i/>
          <w:sz w:val="24"/>
        </w:rPr>
      </w:pPr>
      <w:r>
        <w:rPr/>
        <w:br w:type="column"/>
      </w:r>
      <w:r>
        <w:rPr>
          <w:i/>
          <w:color w:val="231F20"/>
          <w:sz w:val="24"/>
        </w:rPr>
        <w:t>also shall be given to those broadcast stations</w:t>
      </w:r>
      <w:r>
        <w:rPr>
          <w:i/>
          <w:color w:val="231F20"/>
          <w:sz w:val="24"/>
        </w:rPr>
        <w:t> licensed by the Federal Communications Commission and newspapers of general circulation that have made a written request for notice of public meetings.</w:t>
      </w:r>
    </w:p>
    <w:p>
      <w:pPr>
        <w:pStyle w:val="BodyText"/>
        <w:spacing w:before="9"/>
        <w:rPr>
          <w:i/>
          <w:sz w:val="23"/>
        </w:rPr>
      </w:pPr>
    </w:p>
    <w:p>
      <w:pPr>
        <w:pStyle w:val="ListParagraph"/>
        <w:numPr>
          <w:ilvl w:val="0"/>
          <w:numId w:val="9"/>
        </w:numPr>
        <w:tabs>
          <w:tab w:pos="804" w:val="left" w:leader="none"/>
        </w:tabs>
        <w:spacing w:line="240" w:lineRule="auto" w:before="1" w:after="0"/>
        <w:ind w:left="804" w:right="0" w:hanging="329"/>
        <w:jc w:val="left"/>
        <w:rPr>
          <w:i/>
          <w:sz w:val="24"/>
        </w:rPr>
      </w:pPr>
      <w:r>
        <w:rPr>
          <w:i/>
          <w:color w:val="231F20"/>
          <w:sz w:val="24"/>
        </w:rPr>
        <w:t>In</w:t>
      </w:r>
      <w:r>
        <w:rPr>
          <w:i/>
          <w:color w:val="231F20"/>
          <w:spacing w:val="56"/>
          <w:w w:val="150"/>
          <w:sz w:val="24"/>
        </w:rPr>
        <w:t> </w:t>
      </w:r>
      <w:r>
        <w:rPr>
          <w:i/>
          <w:color w:val="231F20"/>
          <w:sz w:val="24"/>
        </w:rPr>
        <w:t>addition</w:t>
      </w:r>
      <w:r>
        <w:rPr>
          <w:i/>
          <w:color w:val="231F20"/>
          <w:spacing w:val="57"/>
          <w:w w:val="150"/>
          <w:sz w:val="24"/>
        </w:rPr>
        <w:t> </w:t>
      </w:r>
      <w:r>
        <w:rPr>
          <w:i/>
          <w:color w:val="231F20"/>
          <w:sz w:val="24"/>
        </w:rPr>
        <w:t>to</w:t>
      </w:r>
      <w:r>
        <w:rPr>
          <w:i/>
          <w:color w:val="231F20"/>
          <w:spacing w:val="57"/>
          <w:w w:val="150"/>
          <w:sz w:val="24"/>
        </w:rPr>
        <w:t> </w:t>
      </w:r>
      <w:r>
        <w:rPr>
          <w:i/>
          <w:color w:val="231F20"/>
          <w:sz w:val="24"/>
        </w:rPr>
        <w:t>the</w:t>
      </w:r>
      <w:r>
        <w:rPr>
          <w:i/>
          <w:color w:val="231F20"/>
          <w:spacing w:val="59"/>
          <w:w w:val="150"/>
          <w:sz w:val="24"/>
        </w:rPr>
        <w:t> </w:t>
      </w:r>
      <w:r>
        <w:rPr>
          <w:i/>
          <w:color w:val="231F20"/>
          <w:sz w:val="24"/>
        </w:rPr>
        <w:t>information</w:t>
      </w:r>
      <w:r>
        <w:rPr>
          <w:i/>
          <w:color w:val="231F20"/>
          <w:spacing w:val="57"/>
          <w:w w:val="150"/>
          <w:sz w:val="24"/>
        </w:rPr>
        <w:t> </w:t>
      </w:r>
      <w:r>
        <w:rPr>
          <w:i/>
          <w:color w:val="231F20"/>
          <w:spacing w:val="-2"/>
          <w:sz w:val="24"/>
        </w:rPr>
        <w:t>specified</w:t>
      </w:r>
    </w:p>
    <w:p>
      <w:pPr>
        <w:spacing w:after="0" w:line="240" w:lineRule="auto"/>
        <w:jc w:val="left"/>
        <w:rPr>
          <w:sz w:val="24"/>
        </w:rPr>
        <w:sectPr>
          <w:type w:val="continuous"/>
          <w:pgSz w:w="12240" w:h="15840"/>
          <w:pgMar w:header="660" w:footer="484" w:top="480" w:bottom="280" w:left="360" w:right="240"/>
          <w:cols w:num="2" w:equalWidth="0">
            <w:col w:w="5062" w:space="820"/>
            <w:col w:w="5758"/>
          </w:cols>
        </w:sectPr>
      </w:pPr>
    </w:p>
    <w:p>
      <w:pPr>
        <w:spacing w:line="274" w:lineRule="exact" w:before="0"/>
        <w:ind w:left="475" w:right="0" w:firstLine="0"/>
        <w:jc w:val="left"/>
        <w:rPr>
          <w:i/>
          <w:sz w:val="24"/>
        </w:rPr>
      </w:pPr>
      <w:r>
        <w:rPr>
          <w:i/>
          <w:color w:val="231F20"/>
          <w:spacing w:val="-5"/>
          <w:sz w:val="24"/>
        </w:rPr>
        <w:t>the</w:t>
      </w:r>
    </w:p>
    <w:p>
      <w:pPr>
        <w:tabs>
          <w:tab w:pos="2536" w:val="left" w:leader="none"/>
          <w:tab w:pos="3006" w:val="left" w:leader="none"/>
          <w:tab w:pos="4024" w:val="left" w:leader="none"/>
        </w:tabs>
        <w:spacing w:line="274" w:lineRule="exact" w:before="0"/>
        <w:ind w:left="256" w:right="0" w:firstLine="0"/>
        <w:jc w:val="left"/>
        <w:rPr>
          <w:i/>
          <w:sz w:val="24"/>
        </w:rPr>
      </w:pPr>
      <w:r>
        <w:rPr/>
        <w:br w:type="column"/>
      </w:r>
      <w:r>
        <w:rPr>
          <w:i/>
          <w:color w:val="231F20"/>
          <w:sz w:val="24"/>
          <w:u w:val="single" w:color="221E1F"/>
        </w:rPr>
        <w:tab/>
      </w:r>
      <w:r>
        <w:rPr>
          <w:i/>
          <w:color w:val="231F20"/>
          <w:spacing w:val="-5"/>
          <w:sz w:val="24"/>
        </w:rPr>
        <w:t>’s</w:t>
      </w:r>
      <w:r>
        <w:rPr>
          <w:i/>
          <w:color w:val="231F20"/>
          <w:sz w:val="24"/>
        </w:rPr>
        <w:tab/>
      </w:r>
      <w:r>
        <w:rPr>
          <w:i/>
          <w:color w:val="231F20"/>
          <w:spacing w:val="-2"/>
          <w:sz w:val="24"/>
        </w:rPr>
        <w:t>website</w:t>
      </w:r>
      <w:r>
        <w:rPr>
          <w:i/>
          <w:color w:val="231F20"/>
          <w:sz w:val="24"/>
        </w:rPr>
        <w:tab/>
      </w:r>
      <w:r>
        <w:rPr>
          <w:i/>
          <w:color w:val="231F20"/>
          <w:spacing w:val="-5"/>
          <w:sz w:val="24"/>
        </w:rPr>
        <w:t>at</w:t>
      </w:r>
    </w:p>
    <w:p>
      <w:pPr>
        <w:spacing w:line="274" w:lineRule="exact" w:before="0"/>
        <w:ind w:left="475" w:right="0" w:firstLine="0"/>
        <w:jc w:val="left"/>
        <w:rPr>
          <w:i/>
          <w:sz w:val="24"/>
        </w:rPr>
      </w:pPr>
      <w:r>
        <w:rPr/>
        <w:br w:type="column"/>
      </w:r>
      <w:r>
        <w:rPr>
          <w:i/>
          <w:color w:val="231F20"/>
          <w:sz w:val="24"/>
        </w:rPr>
        <w:t>above,</w:t>
      </w:r>
      <w:r>
        <w:rPr>
          <w:i/>
          <w:color w:val="231F20"/>
          <w:spacing w:val="38"/>
          <w:sz w:val="24"/>
        </w:rPr>
        <w:t> </w:t>
      </w:r>
      <w:r>
        <w:rPr>
          <w:i/>
          <w:color w:val="231F20"/>
          <w:sz w:val="24"/>
        </w:rPr>
        <w:t>all</w:t>
      </w:r>
      <w:r>
        <w:rPr>
          <w:i/>
          <w:color w:val="231F20"/>
          <w:spacing w:val="40"/>
          <w:sz w:val="24"/>
        </w:rPr>
        <w:t> </w:t>
      </w:r>
      <w:r>
        <w:rPr>
          <w:i/>
          <w:color w:val="231F20"/>
          <w:sz w:val="24"/>
        </w:rPr>
        <w:t>notices</w:t>
      </w:r>
      <w:r>
        <w:rPr>
          <w:i/>
          <w:color w:val="231F20"/>
          <w:spacing w:val="40"/>
          <w:sz w:val="24"/>
        </w:rPr>
        <w:t> </w:t>
      </w:r>
      <w:r>
        <w:rPr>
          <w:i/>
          <w:color w:val="231F20"/>
          <w:sz w:val="24"/>
        </w:rPr>
        <w:t>shall</w:t>
      </w:r>
      <w:r>
        <w:rPr>
          <w:i/>
          <w:color w:val="231F20"/>
          <w:spacing w:val="40"/>
          <w:sz w:val="24"/>
        </w:rPr>
        <w:t> </w:t>
      </w:r>
      <w:r>
        <w:rPr>
          <w:i/>
          <w:color w:val="231F20"/>
          <w:sz w:val="24"/>
        </w:rPr>
        <w:t>include</w:t>
      </w:r>
      <w:r>
        <w:rPr>
          <w:i/>
          <w:color w:val="231F20"/>
          <w:spacing w:val="38"/>
          <w:sz w:val="24"/>
        </w:rPr>
        <w:t> </w:t>
      </w:r>
      <w:r>
        <w:rPr>
          <w:i/>
          <w:color w:val="231F20"/>
          <w:sz w:val="24"/>
        </w:rPr>
        <w:t>the</w:t>
      </w:r>
      <w:r>
        <w:rPr>
          <w:i/>
          <w:color w:val="231F20"/>
          <w:spacing w:val="38"/>
          <w:sz w:val="24"/>
        </w:rPr>
        <w:t> </w:t>
      </w:r>
      <w:r>
        <w:rPr>
          <w:i/>
          <w:color w:val="231F20"/>
          <w:spacing w:val="-2"/>
          <w:sz w:val="24"/>
        </w:rPr>
        <w:t>following</w:t>
      </w:r>
    </w:p>
    <w:p>
      <w:pPr>
        <w:spacing w:after="0" w:line="274" w:lineRule="exact"/>
        <w:jc w:val="left"/>
        <w:rPr>
          <w:sz w:val="24"/>
        </w:rPr>
        <w:sectPr>
          <w:type w:val="continuous"/>
          <w:pgSz w:w="12240" w:h="15840"/>
          <w:pgMar w:header="660" w:footer="484" w:top="480" w:bottom="280" w:left="360" w:right="240"/>
          <w:cols w:num="3" w:equalWidth="0">
            <w:col w:w="769" w:space="40"/>
            <w:col w:w="4252" w:space="822"/>
            <w:col w:w="5757"/>
          </w:cols>
        </w:sectPr>
      </w:pPr>
    </w:p>
    <w:p>
      <w:pPr>
        <w:tabs>
          <w:tab w:pos="1977" w:val="left" w:leader="none"/>
        </w:tabs>
        <w:spacing w:before="0"/>
        <w:ind w:left="475" w:right="0" w:firstLine="0"/>
        <w:jc w:val="left"/>
        <w:rPr>
          <w:i/>
          <w:sz w:val="24"/>
        </w:rPr>
      </w:pPr>
      <w:hyperlink r:id="rId17">
        <w:r>
          <w:rPr>
            <w:i/>
            <w:color w:val="231F20"/>
            <w:spacing w:val="-4"/>
            <w:sz w:val="24"/>
          </w:rPr>
          <w:t>www.</w:t>
        </w:r>
      </w:hyperlink>
      <w:r>
        <w:rPr>
          <w:i/>
          <w:color w:val="231F20"/>
          <w:sz w:val="24"/>
          <w:u w:val="single" w:color="221E1F"/>
        </w:rPr>
        <w:tab/>
      </w:r>
      <w:r>
        <w:rPr>
          <w:i/>
          <w:color w:val="231F20"/>
          <w:spacing w:val="-10"/>
          <w:sz w:val="24"/>
        </w:rPr>
        <w:t>.</w:t>
      </w:r>
    </w:p>
    <w:p>
      <w:pPr>
        <w:pStyle w:val="BodyText"/>
        <w:rPr>
          <w:i/>
        </w:rPr>
      </w:pPr>
    </w:p>
    <w:p>
      <w:pPr>
        <w:pStyle w:val="ListParagraph"/>
        <w:numPr>
          <w:ilvl w:val="0"/>
          <w:numId w:val="8"/>
        </w:numPr>
        <w:tabs>
          <w:tab w:pos="797" w:val="left" w:leader="none"/>
        </w:tabs>
        <w:spacing w:line="240" w:lineRule="auto" w:before="0" w:after="0"/>
        <w:ind w:left="475" w:right="38" w:firstLine="0"/>
        <w:jc w:val="both"/>
        <w:rPr>
          <w:i/>
          <w:color w:val="231F20"/>
          <w:sz w:val="24"/>
        </w:rPr>
      </w:pPr>
      <w:r>
        <w:rPr>
          <w:i/>
          <w:color w:val="231F20"/>
          <w:sz w:val="24"/>
        </w:rPr>
        <w:t>Emergency meetings will be called only</w:t>
      </w:r>
      <w:r>
        <w:rPr>
          <w:i/>
          <w:color w:val="231F20"/>
          <w:sz w:val="24"/>
        </w:rPr>
        <w:t> under unforeseen circumstances that demand immediate action to protect the health, safety and property of citizens or to protect the</w:t>
      </w:r>
      <w:r>
        <w:rPr>
          <w:i/>
          <w:color w:val="231F20"/>
          <w:spacing w:val="80"/>
          <w:sz w:val="24"/>
        </w:rPr>
        <w:t> </w:t>
      </w:r>
      <w:r>
        <w:rPr>
          <w:i/>
          <w:color w:val="231F20"/>
          <w:sz w:val="24"/>
        </w:rPr>
        <w:t>public</w:t>
      </w:r>
      <w:r>
        <w:rPr>
          <w:i/>
          <w:color w:val="231F20"/>
          <w:spacing w:val="40"/>
          <w:sz w:val="24"/>
        </w:rPr>
        <w:t> </w:t>
      </w:r>
      <w:r>
        <w:rPr>
          <w:i/>
          <w:color w:val="231F20"/>
          <w:sz w:val="24"/>
        </w:rPr>
        <w:t>body</w:t>
      </w:r>
      <w:r>
        <w:rPr>
          <w:i/>
          <w:color w:val="231F20"/>
          <w:spacing w:val="40"/>
          <w:sz w:val="24"/>
        </w:rPr>
        <w:t> </w:t>
      </w:r>
      <w:r>
        <w:rPr>
          <w:i/>
          <w:color w:val="231F20"/>
          <w:sz w:val="24"/>
        </w:rPr>
        <w:t>from</w:t>
      </w:r>
      <w:r>
        <w:rPr>
          <w:i/>
          <w:color w:val="231F20"/>
          <w:spacing w:val="40"/>
          <w:sz w:val="24"/>
        </w:rPr>
        <w:t> </w:t>
      </w:r>
      <w:r>
        <w:rPr>
          <w:i/>
          <w:color w:val="231F20"/>
          <w:sz w:val="24"/>
        </w:rPr>
        <w:t>substantial</w:t>
      </w:r>
      <w:r>
        <w:rPr>
          <w:i/>
          <w:color w:val="231F20"/>
          <w:spacing w:val="40"/>
          <w:sz w:val="24"/>
        </w:rPr>
        <w:t> </w:t>
      </w:r>
      <w:r>
        <w:rPr>
          <w:i/>
          <w:color w:val="231F20"/>
          <w:sz w:val="24"/>
        </w:rPr>
        <w:t>financial</w:t>
      </w:r>
      <w:r>
        <w:rPr>
          <w:i/>
          <w:color w:val="231F20"/>
          <w:spacing w:val="40"/>
          <w:sz w:val="24"/>
        </w:rPr>
        <w:t> </w:t>
      </w:r>
      <w:r>
        <w:rPr>
          <w:i/>
          <w:color w:val="231F20"/>
          <w:sz w:val="24"/>
        </w:rPr>
        <w:t>loss.</w:t>
      </w:r>
    </w:p>
    <w:p>
      <w:pPr>
        <w:spacing w:before="0"/>
        <w:ind w:left="475" w:right="0" w:firstLine="0"/>
        <w:jc w:val="left"/>
        <w:rPr>
          <w:i/>
          <w:sz w:val="24"/>
        </w:rPr>
      </w:pPr>
      <w:r>
        <w:rPr/>
        <w:br w:type="column"/>
      </w:r>
      <w:r>
        <w:rPr>
          <w:i/>
          <w:color w:val="231F20"/>
          <w:spacing w:val="-2"/>
          <w:sz w:val="24"/>
        </w:rPr>
        <w:t>language:</w:t>
      </w:r>
    </w:p>
    <w:p>
      <w:pPr>
        <w:pStyle w:val="BodyText"/>
        <w:rPr>
          <w:i/>
        </w:rPr>
      </w:pPr>
    </w:p>
    <w:p>
      <w:pPr>
        <w:spacing w:before="0"/>
        <w:ind w:left="746" w:right="956" w:firstLine="0"/>
        <w:jc w:val="both"/>
        <w:rPr>
          <w:i/>
          <w:sz w:val="24"/>
        </w:rPr>
      </w:pPr>
      <w:r>
        <w:rPr>
          <w:i/>
          <w:color w:val="231F20"/>
          <w:sz w:val="24"/>
        </w:rPr>
        <w:t>If you are an individual with a disability</w:t>
      </w:r>
      <w:r>
        <w:rPr>
          <w:i/>
          <w:color w:val="231F20"/>
          <w:sz w:val="24"/>
        </w:rPr>
        <w:t> who is in need of a reader, amplifier, qualified</w:t>
      </w:r>
      <w:r>
        <w:rPr>
          <w:i/>
          <w:color w:val="231F20"/>
          <w:spacing w:val="80"/>
          <w:w w:val="150"/>
          <w:sz w:val="24"/>
        </w:rPr>
        <w:t> </w:t>
      </w:r>
      <w:r>
        <w:rPr>
          <w:i/>
          <w:color w:val="231F20"/>
          <w:sz w:val="24"/>
        </w:rPr>
        <w:t>sign</w:t>
      </w:r>
      <w:r>
        <w:rPr>
          <w:i/>
          <w:color w:val="231F20"/>
          <w:spacing w:val="80"/>
          <w:w w:val="150"/>
          <w:sz w:val="24"/>
        </w:rPr>
        <w:t> </w:t>
      </w:r>
      <w:r>
        <w:rPr>
          <w:i/>
          <w:color w:val="231F20"/>
          <w:sz w:val="24"/>
        </w:rPr>
        <w:t>language</w:t>
      </w:r>
      <w:r>
        <w:rPr>
          <w:i/>
          <w:color w:val="231F20"/>
          <w:spacing w:val="80"/>
          <w:w w:val="150"/>
          <w:sz w:val="24"/>
        </w:rPr>
        <w:t> </w:t>
      </w:r>
      <w:r>
        <w:rPr>
          <w:i/>
          <w:color w:val="231F20"/>
          <w:sz w:val="24"/>
        </w:rPr>
        <w:t>interpreter,</w:t>
      </w:r>
      <w:r>
        <w:rPr>
          <w:i/>
          <w:color w:val="231F20"/>
          <w:spacing w:val="80"/>
          <w:sz w:val="24"/>
        </w:rPr>
        <w:t> </w:t>
      </w:r>
      <w:r>
        <w:rPr>
          <w:i/>
          <w:color w:val="231F20"/>
          <w:sz w:val="24"/>
        </w:rPr>
        <w:t>or any other form of auxiliary aid or service</w:t>
      </w:r>
      <w:r>
        <w:rPr>
          <w:i/>
          <w:color w:val="231F20"/>
          <w:spacing w:val="76"/>
          <w:sz w:val="24"/>
        </w:rPr>
        <w:t> </w:t>
      </w:r>
      <w:r>
        <w:rPr>
          <w:i/>
          <w:color w:val="231F20"/>
          <w:sz w:val="24"/>
        </w:rPr>
        <w:t>to</w:t>
      </w:r>
      <w:r>
        <w:rPr>
          <w:i/>
          <w:color w:val="231F20"/>
          <w:spacing w:val="77"/>
          <w:sz w:val="24"/>
        </w:rPr>
        <w:t> </w:t>
      </w:r>
      <w:r>
        <w:rPr>
          <w:i/>
          <w:color w:val="231F20"/>
          <w:sz w:val="24"/>
        </w:rPr>
        <w:t>attend</w:t>
      </w:r>
      <w:r>
        <w:rPr>
          <w:i/>
          <w:color w:val="231F20"/>
          <w:spacing w:val="78"/>
          <w:sz w:val="24"/>
        </w:rPr>
        <w:t> </w:t>
      </w:r>
      <w:r>
        <w:rPr>
          <w:i/>
          <w:color w:val="231F20"/>
          <w:sz w:val="24"/>
        </w:rPr>
        <w:t>or</w:t>
      </w:r>
      <w:r>
        <w:rPr>
          <w:i/>
          <w:color w:val="231F20"/>
          <w:spacing w:val="77"/>
          <w:sz w:val="24"/>
        </w:rPr>
        <w:t> </w:t>
      </w:r>
      <w:r>
        <w:rPr>
          <w:i/>
          <w:color w:val="231F20"/>
          <w:sz w:val="24"/>
        </w:rPr>
        <w:t>participate</w:t>
      </w:r>
      <w:r>
        <w:rPr>
          <w:i/>
          <w:color w:val="231F20"/>
          <w:spacing w:val="77"/>
          <w:sz w:val="24"/>
        </w:rPr>
        <w:t> </w:t>
      </w:r>
      <w:r>
        <w:rPr>
          <w:i/>
          <w:color w:val="231F20"/>
          <w:sz w:val="24"/>
        </w:rPr>
        <w:t>in</w:t>
      </w:r>
      <w:r>
        <w:rPr>
          <w:i/>
          <w:color w:val="231F20"/>
          <w:spacing w:val="77"/>
          <w:sz w:val="24"/>
        </w:rPr>
        <w:t> </w:t>
      </w:r>
      <w:r>
        <w:rPr>
          <w:i/>
          <w:color w:val="231F20"/>
          <w:spacing w:val="-5"/>
          <w:sz w:val="24"/>
        </w:rPr>
        <w:t>the</w:t>
      </w:r>
    </w:p>
    <w:p>
      <w:pPr>
        <w:spacing w:after="0"/>
        <w:jc w:val="both"/>
        <w:rPr>
          <w:sz w:val="24"/>
        </w:rPr>
        <w:sectPr>
          <w:type w:val="continuous"/>
          <w:pgSz w:w="12240" w:h="15840"/>
          <w:pgMar w:header="660" w:footer="484" w:top="480" w:bottom="280" w:left="360" w:right="240"/>
          <w:cols w:num="2" w:equalWidth="0">
            <w:col w:w="5062" w:space="821"/>
            <w:col w:w="5757"/>
          </w:cols>
        </w:sectPr>
      </w:pPr>
    </w:p>
    <w:p>
      <w:pPr>
        <w:tabs>
          <w:tab w:pos="1171" w:val="left" w:leader="none"/>
          <w:tab w:pos="3451" w:val="left" w:leader="none"/>
        </w:tabs>
        <w:spacing w:before="0"/>
        <w:ind w:left="475" w:right="0" w:firstLine="0"/>
        <w:jc w:val="left"/>
        <w:rPr>
          <w:i/>
          <w:sz w:val="24"/>
        </w:rPr>
      </w:pPr>
      <w:r>
        <w:rPr>
          <w:i/>
          <w:color w:val="231F20"/>
          <w:spacing w:val="-5"/>
          <w:sz w:val="24"/>
        </w:rPr>
        <w:t>The</w:t>
      </w:r>
      <w:r>
        <w:rPr>
          <w:i/>
          <w:color w:val="231F20"/>
          <w:sz w:val="24"/>
        </w:rPr>
        <w:tab/>
      </w:r>
      <w:r>
        <w:rPr>
          <w:i/>
          <w:color w:val="231F20"/>
          <w:sz w:val="24"/>
          <w:u w:val="single" w:color="221E1F"/>
        </w:rPr>
        <w:tab/>
      </w:r>
    </w:p>
    <w:p>
      <w:pPr>
        <w:tabs>
          <w:tab w:pos="994" w:val="left" w:leader="none"/>
        </w:tabs>
        <w:spacing w:before="0"/>
        <w:ind w:left="296" w:right="0" w:firstLine="0"/>
        <w:jc w:val="left"/>
        <w:rPr>
          <w:i/>
          <w:sz w:val="24"/>
        </w:rPr>
      </w:pPr>
      <w:r>
        <w:rPr/>
        <w:br w:type="column"/>
      </w:r>
      <w:r>
        <w:rPr>
          <w:i/>
          <w:color w:val="231F20"/>
          <w:spacing w:val="-4"/>
          <w:sz w:val="24"/>
        </w:rPr>
        <w:t>will</w:t>
      </w:r>
      <w:r>
        <w:rPr>
          <w:i/>
          <w:color w:val="231F20"/>
          <w:sz w:val="24"/>
        </w:rPr>
        <w:tab/>
      </w:r>
      <w:r>
        <w:rPr>
          <w:i/>
          <w:color w:val="231F20"/>
          <w:spacing w:val="-2"/>
          <w:sz w:val="24"/>
        </w:rPr>
        <w:t>avoid</w:t>
      </w:r>
    </w:p>
    <w:p>
      <w:pPr>
        <w:tabs>
          <w:tab w:pos="1459" w:val="left" w:leader="none"/>
          <w:tab w:pos="1910" w:val="left" w:leader="none"/>
          <w:tab w:pos="2968" w:val="left" w:leader="none"/>
          <w:tab w:pos="3818" w:val="left" w:leader="none"/>
        </w:tabs>
        <w:spacing w:before="0"/>
        <w:ind w:left="475" w:right="0" w:firstLine="0"/>
        <w:jc w:val="left"/>
        <w:rPr>
          <w:i/>
          <w:sz w:val="24"/>
        </w:rPr>
      </w:pPr>
      <w:r>
        <w:rPr/>
        <w:br w:type="column"/>
      </w:r>
      <w:r>
        <w:rPr>
          <w:i/>
          <w:color w:val="231F20"/>
          <w:spacing w:val="-2"/>
          <w:sz w:val="24"/>
        </w:rPr>
        <w:t>hearing</w:t>
      </w:r>
      <w:r>
        <w:rPr>
          <w:i/>
          <w:color w:val="231F20"/>
          <w:sz w:val="24"/>
        </w:rPr>
        <w:tab/>
      </w:r>
      <w:r>
        <w:rPr>
          <w:i/>
          <w:color w:val="231F20"/>
          <w:spacing w:val="-5"/>
          <w:sz w:val="24"/>
        </w:rPr>
        <w:t>or</w:t>
      </w:r>
      <w:r>
        <w:rPr>
          <w:i/>
          <w:color w:val="231F20"/>
          <w:sz w:val="24"/>
        </w:rPr>
        <w:tab/>
      </w:r>
      <w:r>
        <w:rPr>
          <w:i/>
          <w:color w:val="231F20"/>
          <w:spacing w:val="-2"/>
          <w:sz w:val="24"/>
        </w:rPr>
        <w:t>meeting,</w:t>
      </w:r>
      <w:r>
        <w:rPr>
          <w:i/>
          <w:color w:val="231F20"/>
          <w:sz w:val="24"/>
        </w:rPr>
        <w:tab/>
      </w:r>
      <w:r>
        <w:rPr>
          <w:i/>
          <w:color w:val="231F20"/>
          <w:spacing w:val="-2"/>
          <w:sz w:val="24"/>
        </w:rPr>
        <w:t>please</w:t>
      </w:r>
      <w:r>
        <w:rPr>
          <w:i/>
          <w:color w:val="231F20"/>
          <w:sz w:val="24"/>
        </w:rPr>
        <w:tab/>
      </w:r>
      <w:r>
        <w:rPr>
          <w:i/>
          <w:color w:val="231F20"/>
          <w:spacing w:val="-2"/>
          <w:sz w:val="24"/>
        </w:rPr>
        <w:t>contact</w:t>
      </w:r>
    </w:p>
    <w:p>
      <w:pPr>
        <w:spacing w:after="0"/>
        <w:jc w:val="left"/>
        <w:rPr>
          <w:sz w:val="24"/>
        </w:rPr>
        <w:sectPr>
          <w:type w:val="continuous"/>
          <w:pgSz w:w="12240" w:h="15840"/>
          <w:pgMar w:header="660" w:footer="484" w:top="480" w:bottom="280" w:left="360" w:right="240"/>
          <w:cols w:num="3" w:equalWidth="0">
            <w:col w:w="3452" w:space="40"/>
            <w:col w:w="1568" w:space="1093"/>
            <w:col w:w="5487"/>
          </w:cols>
        </w:sectPr>
      </w:pPr>
    </w:p>
    <w:p>
      <w:pPr>
        <w:pStyle w:val="BodyText"/>
        <w:spacing w:before="8"/>
        <w:rPr>
          <w:i/>
          <w:sz w:val="15"/>
        </w:rPr>
      </w:pPr>
    </w:p>
    <w:p>
      <w:pPr>
        <w:tabs>
          <w:tab w:pos="2666" w:val="left" w:leader="none"/>
          <w:tab w:pos="4797" w:val="left" w:leader="none"/>
          <w:tab w:pos="6357" w:val="left" w:leader="none"/>
          <w:tab w:pos="11037" w:val="left" w:leader="none"/>
        </w:tabs>
        <w:spacing w:before="90"/>
        <w:ind w:left="746" w:right="0" w:firstLine="0"/>
        <w:jc w:val="left"/>
        <w:rPr>
          <w:i/>
          <w:sz w:val="24"/>
        </w:rPr>
      </w:pPr>
      <w:r>
        <w:rPr>
          <w:i/>
          <w:color w:val="231F20"/>
          <w:sz w:val="24"/>
          <w:u w:val="single" w:color="221E1F"/>
        </w:rPr>
        <w:tab/>
      </w:r>
      <w:r>
        <w:rPr>
          <w:i/>
          <w:color w:val="231F20"/>
          <w:sz w:val="24"/>
        </w:rPr>
        <w:t> at </w:t>
      </w:r>
      <w:r>
        <w:rPr>
          <w:i/>
          <w:color w:val="231F20"/>
          <w:sz w:val="24"/>
          <w:u w:val="single" w:color="221E1F"/>
        </w:rPr>
        <w:tab/>
      </w:r>
      <w:r>
        <w:rPr>
          <w:i/>
          <w:color w:val="231F20"/>
          <w:sz w:val="24"/>
        </w:rPr>
        <w:tab/>
      </w:r>
      <w:r>
        <w:rPr>
          <w:i/>
          <w:sz w:val="24"/>
        </w:rPr>
        <w:t>open</w:t>
      </w:r>
      <w:r>
        <w:rPr>
          <w:i/>
          <w:spacing w:val="31"/>
          <w:sz w:val="24"/>
        </w:rPr>
        <w:t> </w:t>
      </w:r>
      <w:r>
        <w:rPr>
          <w:i/>
          <w:sz w:val="24"/>
        </w:rPr>
        <w:t>public</w:t>
      </w:r>
      <w:r>
        <w:rPr>
          <w:i/>
          <w:spacing w:val="30"/>
          <w:sz w:val="24"/>
        </w:rPr>
        <w:t> </w:t>
      </w:r>
      <w:r>
        <w:rPr>
          <w:i/>
          <w:sz w:val="24"/>
        </w:rPr>
        <w:t>meeting.</w:t>
      </w:r>
      <w:r>
        <w:rPr>
          <w:i/>
          <w:spacing w:val="31"/>
          <w:sz w:val="24"/>
        </w:rPr>
        <w:t> </w:t>
      </w:r>
      <w:r>
        <w:rPr>
          <w:i/>
          <w:color w:val="231F20"/>
          <w:sz w:val="24"/>
        </w:rPr>
        <w:t>Passed</w:t>
      </w:r>
      <w:r>
        <w:rPr>
          <w:i/>
          <w:color w:val="231F20"/>
          <w:spacing w:val="31"/>
          <w:sz w:val="24"/>
        </w:rPr>
        <w:t> </w:t>
      </w:r>
      <w:r>
        <w:rPr>
          <w:i/>
          <w:color w:val="231F20"/>
          <w:sz w:val="24"/>
        </w:rPr>
        <w:t>by</w:t>
      </w:r>
      <w:r>
        <w:rPr>
          <w:i/>
          <w:color w:val="231F20"/>
          <w:spacing w:val="30"/>
          <w:sz w:val="24"/>
        </w:rPr>
        <w:t> </w:t>
      </w:r>
      <w:r>
        <w:rPr>
          <w:i/>
          <w:color w:val="231F20"/>
          <w:sz w:val="24"/>
        </w:rPr>
        <w:t>the</w:t>
      </w:r>
      <w:r>
        <w:rPr>
          <w:i/>
          <w:color w:val="231F20"/>
          <w:spacing w:val="25"/>
          <w:sz w:val="24"/>
        </w:rPr>
        <w:t> </w:t>
      </w:r>
      <w:r>
        <w:rPr>
          <w:i/>
          <w:color w:val="231F20"/>
          <w:sz w:val="24"/>
          <w:u w:val="single" w:color="221E1F"/>
        </w:rPr>
        <w:tab/>
      </w:r>
    </w:p>
    <w:p>
      <w:pPr>
        <w:tabs>
          <w:tab w:pos="6357" w:val="left" w:leader="none"/>
          <w:tab w:pos="7677" w:val="left" w:leader="none"/>
          <w:tab w:pos="8505" w:val="left" w:leader="none"/>
          <w:tab w:pos="10298" w:val="left" w:leader="none"/>
        </w:tabs>
        <w:spacing w:before="0"/>
        <w:ind w:left="746" w:right="679" w:firstLine="0"/>
        <w:jc w:val="left"/>
        <w:rPr>
          <w:i/>
          <w:sz w:val="24"/>
        </w:rPr>
      </w:pPr>
      <w:r>
        <w:rPr>
          <w:i/>
          <w:color w:val="231F20"/>
          <w:sz w:val="24"/>
        </w:rPr>
        <w:t>at</w:t>
      </w:r>
      <w:r>
        <w:rPr>
          <w:i/>
          <w:color w:val="231F20"/>
          <w:spacing w:val="40"/>
          <w:sz w:val="24"/>
        </w:rPr>
        <w:t> </w:t>
      </w:r>
      <w:r>
        <w:rPr>
          <w:i/>
          <w:color w:val="231F20"/>
          <w:sz w:val="24"/>
        </w:rPr>
        <w:t>least one (1) week prior to the meeting</w:t>
        <w:tab/>
      </w:r>
      <w:r>
        <w:rPr>
          <w:i/>
          <w:color w:val="231F20"/>
          <w:sz w:val="24"/>
          <w:u w:val="single" w:color="221E1F"/>
        </w:rPr>
        <w:tab/>
      </w:r>
      <w:r>
        <w:rPr>
          <w:i/>
          <w:color w:val="231F20"/>
          <w:sz w:val="24"/>
        </w:rPr>
        <w:t> this </w:t>
      </w:r>
      <w:r>
        <w:rPr>
          <w:i/>
          <w:color w:val="231F20"/>
          <w:sz w:val="24"/>
          <w:u w:val="single" w:color="221E1F"/>
        </w:rPr>
        <w:tab/>
      </w:r>
      <w:r>
        <w:rPr>
          <w:i/>
          <w:color w:val="231F20"/>
          <w:sz w:val="24"/>
        </w:rPr>
        <w:t> day of </w:t>
      </w:r>
      <w:r>
        <w:rPr>
          <w:i/>
          <w:color w:val="231F20"/>
          <w:sz w:val="24"/>
          <w:u w:val="single" w:color="221E1F"/>
        </w:rPr>
        <w:tab/>
      </w:r>
      <w:r>
        <w:rPr>
          <w:i/>
          <w:color w:val="231F20"/>
          <w:sz w:val="24"/>
        </w:rPr>
        <w:t>,</w:t>
      </w:r>
      <w:r>
        <w:rPr>
          <w:i/>
          <w:color w:val="231F20"/>
          <w:spacing w:val="-8"/>
          <w:sz w:val="24"/>
        </w:rPr>
        <w:t> </w:t>
      </w:r>
      <w:r>
        <w:rPr>
          <w:i/>
          <w:color w:val="231F20"/>
          <w:sz w:val="24"/>
        </w:rPr>
        <w:t>20</w:t>
      </w:r>
      <w:r>
        <w:rPr>
          <w:i/>
          <w:color w:val="231F20"/>
          <w:spacing w:val="80"/>
          <w:w w:val="150"/>
          <w:sz w:val="24"/>
          <w:u w:val="single" w:color="221E1F"/>
        </w:rPr>
        <w:t> </w:t>
      </w:r>
      <w:r>
        <w:rPr>
          <w:i/>
          <w:color w:val="231F20"/>
          <w:sz w:val="24"/>
        </w:rPr>
        <w:t>.</w:t>
      </w:r>
      <w:r>
        <w:rPr>
          <w:i/>
          <w:color w:val="231F20"/>
          <w:sz w:val="24"/>
        </w:rPr>
        <w:t> or as soon as possible. Public documents,</w:t>
      </w:r>
    </w:p>
    <w:p>
      <w:pPr>
        <w:spacing w:after="0"/>
        <w:jc w:val="left"/>
        <w:rPr>
          <w:sz w:val="24"/>
        </w:rPr>
        <w:sectPr>
          <w:pgSz w:w="12240" w:h="15840"/>
          <w:pgMar w:header="660" w:footer="484" w:top="960" w:bottom="900" w:left="360" w:right="240"/>
        </w:sectPr>
      </w:pPr>
    </w:p>
    <w:p>
      <w:pPr>
        <w:tabs>
          <w:tab w:pos="4331" w:val="left" w:leader="none"/>
        </w:tabs>
        <w:spacing w:before="0"/>
        <w:ind w:left="746" w:right="398" w:firstLine="0"/>
        <w:jc w:val="both"/>
        <w:rPr>
          <w:i/>
          <w:sz w:val="24"/>
        </w:rPr>
      </w:pPr>
      <w:r>
        <w:rPr>
          <w:i/>
          <w:color w:val="231F20"/>
          <w:sz w:val="24"/>
        </w:rPr>
        <w:t>including the agenda and minutes, can </w:t>
      </w:r>
      <w:r>
        <w:rPr>
          <w:i/>
          <w:color w:val="231F20"/>
          <w:sz w:val="24"/>
        </w:rPr>
        <w:t>be</w:t>
      </w:r>
      <w:r>
        <w:rPr>
          <w:i/>
          <w:color w:val="231F20"/>
          <w:sz w:val="24"/>
        </w:rPr>
        <w:t> provided in various accessible formats. Please</w:t>
      </w:r>
      <w:r>
        <w:rPr>
          <w:i/>
          <w:color w:val="231F20"/>
          <w:spacing w:val="80"/>
          <w:sz w:val="24"/>
        </w:rPr>
        <w:t>  </w:t>
      </w:r>
      <w:r>
        <w:rPr>
          <w:i/>
          <w:color w:val="231F20"/>
          <w:sz w:val="24"/>
        </w:rPr>
        <w:t>contact</w:t>
      </w:r>
      <w:r>
        <w:rPr>
          <w:i/>
          <w:color w:val="231F20"/>
          <w:spacing w:val="221"/>
          <w:sz w:val="24"/>
        </w:rPr>
        <w:t> </w:t>
      </w:r>
      <w:r>
        <w:rPr>
          <w:i/>
          <w:color w:val="231F20"/>
          <w:sz w:val="24"/>
          <w:u w:val="single" w:color="000000"/>
        </w:rPr>
        <w:tab/>
      </w:r>
      <w:r>
        <w:rPr>
          <w:i/>
          <w:color w:val="231F20"/>
          <w:spacing w:val="40"/>
          <w:sz w:val="24"/>
        </w:rPr>
        <w:t>  </w:t>
      </w:r>
      <w:r>
        <w:rPr>
          <w:i/>
          <w:color w:val="231F20"/>
          <w:sz w:val="24"/>
        </w:rPr>
        <w:t>at</w:t>
      </w:r>
    </w:p>
    <w:p>
      <w:pPr>
        <w:tabs>
          <w:tab w:pos="2306" w:val="left" w:leader="none"/>
        </w:tabs>
        <w:spacing w:before="0"/>
        <w:ind w:left="746" w:right="400" w:firstLine="0"/>
        <w:jc w:val="both"/>
        <w:rPr>
          <w:i/>
          <w:sz w:val="24"/>
        </w:rPr>
      </w:pPr>
      <w:r>
        <w:rPr>
          <w:i/>
          <w:color w:val="231F20"/>
          <w:sz w:val="24"/>
          <w:u w:val="single" w:color="221E1F"/>
        </w:rPr>
        <w:tab/>
      </w:r>
      <w:r>
        <w:rPr>
          <w:i/>
          <w:color w:val="231F20"/>
          <w:sz w:val="24"/>
        </w:rPr>
        <w:t> if a summary or </w:t>
      </w:r>
      <w:r>
        <w:rPr>
          <w:i/>
          <w:color w:val="231F20"/>
          <w:sz w:val="24"/>
        </w:rPr>
        <w:t>other</w:t>
      </w:r>
      <w:r>
        <w:rPr>
          <w:i/>
          <w:color w:val="231F20"/>
          <w:sz w:val="24"/>
        </w:rPr>
        <w:t> type of accessible format is needed.</w:t>
      </w:r>
    </w:p>
    <w:p>
      <w:pPr>
        <w:pStyle w:val="BodyText"/>
        <w:rPr>
          <w:i/>
        </w:rPr>
      </w:pPr>
    </w:p>
    <w:p>
      <w:pPr>
        <w:pStyle w:val="ListParagraph"/>
        <w:numPr>
          <w:ilvl w:val="0"/>
          <w:numId w:val="9"/>
        </w:numPr>
        <w:tabs>
          <w:tab w:pos="718" w:val="left" w:leader="none"/>
          <w:tab w:pos="4139" w:val="left" w:leader="none"/>
        </w:tabs>
        <w:spacing w:line="240" w:lineRule="auto" w:before="0" w:after="0"/>
        <w:ind w:left="475" w:right="39" w:firstLine="0"/>
        <w:jc w:val="both"/>
        <w:rPr>
          <w:i/>
          <w:sz w:val="24"/>
        </w:rPr>
      </w:pPr>
      <w:r>
        <w:rPr>
          <w:i/>
          <w:color w:val="231F20"/>
          <w:sz w:val="24"/>
        </w:rPr>
        <w:t>The </w:t>
      </w:r>
      <w:r>
        <w:rPr>
          <w:i/>
          <w:color w:val="231F20"/>
          <w:sz w:val="24"/>
          <w:u w:val="single" w:color="221E1F"/>
        </w:rPr>
        <w:tab/>
      </w:r>
      <w:r>
        <w:rPr>
          <w:i/>
          <w:color w:val="231F20"/>
          <w:spacing w:val="-15"/>
          <w:sz w:val="24"/>
        </w:rPr>
        <w:t> </w:t>
      </w:r>
      <w:r>
        <w:rPr>
          <w:i/>
          <w:color w:val="231F20"/>
          <w:sz w:val="24"/>
        </w:rPr>
        <w:t>may</w:t>
      </w:r>
      <w:r>
        <w:rPr>
          <w:i/>
          <w:color w:val="231F20"/>
          <w:spacing w:val="-15"/>
          <w:sz w:val="24"/>
        </w:rPr>
        <w:t> </w:t>
      </w:r>
      <w:r>
        <w:rPr>
          <w:i/>
          <w:color w:val="231F20"/>
          <w:sz w:val="24"/>
        </w:rPr>
        <w:t>clos</w:t>
      </w:r>
      <w:r>
        <w:rPr>
          <w:i/>
          <w:color w:val="231F20"/>
          <w:sz w:val="24"/>
        </w:rPr>
        <w:t>e</w:t>
      </w:r>
      <w:r>
        <w:rPr>
          <w:i/>
          <w:color w:val="231F20"/>
          <w:sz w:val="24"/>
        </w:rPr>
        <w:t> a meeting to the</w:t>
      </w:r>
      <w:r>
        <w:rPr>
          <w:i/>
          <w:color w:val="231F20"/>
          <w:spacing w:val="-1"/>
          <w:sz w:val="24"/>
        </w:rPr>
        <w:t> </w:t>
      </w:r>
      <w:r>
        <w:rPr>
          <w:i/>
          <w:color w:val="231F20"/>
          <w:sz w:val="24"/>
        </w:rPr>
        <w:t>public</w:t>
      </w:r>
      <w:r>
        <w:rPr>
          <w:i/>
          <w:color w:val="231F20"/>
          <w:spacing w:val="-3"/>
          <w:sz w:val="24"/>
        </w:rPr>
        <w:t> </w:t>
      </w:r>
      <w:r>
        <w:rPr>
          <w:i/>
          <w:color w:val="231F20"/>
          <w:sz w:val="24"/>
        </w:rPr>
        <w:t>only</w:t>
      </w:r>
      <w:r>
        <w:rPr>
          <w:i/>
          <w:color w:val="231F20"/>
          <w:spacing w:val="-1"/>
          <w:sz w:val="24"/>
        </w:rPr>
        <w:t> </w:t>
      </w:r>
      <w:r>
        <w:rPr>
          <w:i/>
          <w:color w:val="231F20"/>
          <w:sz w:val="24"/>
        </w:rPr>
        <w:t>if the</w:t>
      </w:r>
      <w:r>
        <w:rPr>
          <w:i/>
          <w:color w:val="231F20"/>
          <w:spacing w:val="-1"/>
          <w:sz w:val="24"/>
        </w:rPr>
        <w:t> </w:t>
      </w:r>
      <w:r>
        <w:rPr>
          <w:i/>
          <w:color w:val="231F20"/>
          <w:sz w:val="24"/>
        </w:rPr>
        <w:t>subject matter of</w:t>
      </w:r>
      <w:r>
        <w:rPr>
          <w:i/>
          <w:color w:val="231F20"/>
          <w:spacing w:val="-3"/>
          <w:sz w:val="24"/>
        </w:rPr>
        <w:t> </w:t>
      </w:r>
      <w:r>
        <w:rPr>
          <w:i/>
          <w:color w:val="231F20"/>
          <w:sz w:val="24"/>
        </w:rPr>
        <w:t>such</w:t>
      </w:r>
      <w:r>
        <w:rPr>
          <w:i/>
          <w:color w:val="231F20"/>
          <w:spacing w:val="-3"/>
          <w:sz w:val="24"/>
        </w:rPr>
        <w:t> </w:t>
      </w:r>
      <w:r>
        <w:rPr>
          <w:i/>
          <w:color w:val="231F20"/>
          <w:sz w:val="24"/>
        </w:rPr>
        <w:t>discussion</w:t>
      </w:r>
      <w:r>
        <w:rPr>
          <w:i/>
          <w:color w:val="231F20"/>
          <w:spacing w:val="-3"/>
          <w:sz w:val="24"/>
        </w:rPr>
        <w:t> </w:t>
      </w:r>
      <w:r>
        <w:rPr>
          <w:i/>
          <w:color w:val="231F20"/>
          <w:sz w:val="24"/>
        </w:rPr>
        <w:t>or</w:t>
      </w:r>
      <w:r>
        <w:rPr>
          <w:i/>
          <w:color w:val="231F20"/>
          <w:spacing w:val="-3"/>
          <w:sz w:val="24"/>
        </w:rPr>
        <w:t> </w:t>
      </w:r>
      <w:r>
        <w:rPr>
          <w:i/>
          <w:color w:val="231F20"/>
          <w:sz w:val="24"/>
        </w:rPr>
        <w:t>action</w:t>
      </w:r>
      <w:r>
        <w:rPr>
          <w:i/>
          <w:color w:val="231F20"/>
          <w:spacing w:val="-3"/>
          <w:sz w:val="24"/>
        </w:rPr>
        <w:t> </w:t>
      </w:r>
      <w:r>
        <w:rPr>
          <w:i/>
          <w:color w:val="231F20"/>
          <w:sz w:val="24"/>
        </w:rPr>
        <w:t>is</w:t>
      </w:r>
      <w:r>
        <w:rPr>
          <w:i/>
          <w:color w:val="231F20"/>
          <w:spacing w:val="-3"/>
          <w:sz w:val="24"/>
        </w:rPr>
        <w:t> </w:t>
      </w:r>
      <w:r>
        <w:rPr>
          <w:i/>
          <w:color w:val="231F20"/>
          <w:sz w:val="24"/>
        </w:rPr>
        <w:t>excepted</w:t>
      </w:r>
      <w:r>
        <w:rPr>
          <w:i/>
          <w:color w:val="231F20"/>
          <w:spacing w:val="-3"/>
          <w:sz w:val="24"/>
        </w:rPr>
        <w:t> </w:t>
      </w:r>
      <w:r>
        <w:rPr>
          <w:i/>
          <w:color w:val="231F20"/>
          <w:sz w:val="24"/>
        </w:rPr>
        <w:t>from</w:t>
      </w:r>
      <w:r>
        <w:rPr>
          <w:i/>
          <w:color w:val="231F20"/>
          <w:spacing w:val="-4"/>
          <w:sz w:val="24"/>
        </w:rPr>
        <w:t> </w:t>
      </w:r>
      <w:r>
        <w:rPr>
          <w:i/>
          <w:color w:val="231F20"/>
          <w:sz w:val="24"/>
        </w:rPr>
        <w:t>the open meeting requirement under Section 10-15- 1(H) of the Open Meetings Act.</w:t>
      </w:r>
    </w:p>
    <w:p>
      <w:pPr>
        <w:pStyle w:val="BodyText"/>
        <w:rPr>
          <w:i/>
        </w:rPr>
      </w:pPr>
    </w:p>
    <w:p>
      <w:pPr>
        <w:pStyle w:val="ListParagraph"/>
        <w:numPr>
          <w:ilvl w:val="1"/>
          <w:numId w:val="9"/>
        </w:numPr>
        <w:tabs>
          <w:tab w:pos="881" w:val="left" w:leader="none"/>
        </w:tabs>
        <w:spacing w:line="240" w:lineRule="auto" w:before="0" w:after="0"/>
        <w:ind w:left="475" w:right="40" w:firstLine="0"/>
        <w:jc w:val="both"/>
        <w:rPr>
          <w:i/>
          <w:sz w:val="24"/>
        </w:rPr>
      </w:pPr>
      <w:r>
        <w:rPr>
          <w:i/>
          <w:color w:val="231F20"/>
          <w:sz w:val="24"/>
        </w:rPr>
        <w:t>If</w:t>
      </w:r>
      <w:r>
        <w:rPr>
          <w:i/>
          <w:color w:val="231F20"/>
          <w:sz w:val="24"/>
        </w:rPr>
        <w:t> any</w:t>
      </w:r>
      <w:r>
        <w:rPr>
          <w:i/>
          <w:color w:val="231F20"/>
          <w:sz w:val="24"/>
        </w:rPr>
        <w:t> meeting is closed during an open</w:t>
      </w:r>
      <w:r>
        <w:rPr>
          <w:i/>
          <w:color w:val="231F20"/>
          <w:sz w:val="24"/>
        </w:rPr>
        <w:t> meeting, such closure shall be approved by a majority</w:t>
      </w:r>
      <w:r>
        <w:rPr>
          <w:i/>
          <w:color w:val="231F20"/>
          <w:spacing w:val="69"/>
          <w:w w:val="150"/>
          <w:sz w:val="24"/>
        </w:rPr>
        <w:t>  </w:t>
      </w:r>
      <w:r>
        <w:rPr>
          <w:i/>
          <w:color w:val="231F20"/>
          <w:sz w:val="24"/>
        </w:rPr>
        <w:t>vote</w:t>
      </w:r>
      <w:r>
        <w:rPr>
          <w:i/>
          <w:color w:val="231F20"/>
          <w:spacing w:val="69"/>
          <w:w w:val="150"/>
          <w:sz w:val="24"/>
        </w:rPr>
        <w:t>  </w:t>
      </w:r>
      <w:r>
        <w:rPr>
          <w:i/>
          <w:color w:val="231F20"/>
          <w:sz w:val="24"/>
        </w:rPr>
        <w:t>of</w:t>
      </w:r>
      <w:r>
        <w:rPr>
          <w:i/>
          <w:color w:val="231F20"/>
          <w:spacing w:val="71"/>
          <w:w w:val="150"/>
          <w:sz w:val="24"/>
        </w:rPr>
        <w:t>  </w:t>
      </w:r>
      <w:r>
        <w:rPr>
          <w:i/>
          <w:color w:val="231F20"/>
          <w:sz w:val="24"/>
        </w:rPr>
        <w:t>a</w:t>
      </w:r>
      <w:r>
        <w:rPr>
          <w:i/>
          <w:color w:val="231F20"/>
          <w:spacing w:val="70"/>
          <w:w w:val="150"/>
          <w:sz w:val="24"/>
        </w:rPr>
        <w:t>  </w:t>
      </w:r>
      <w:r>
        <w:rPr>
          <w:i/>
          <w:color w:val="231F20"/>
          <w:sz w:val="24"/>
        </w:rPr>
        <w:t>quorum</w:t>
      </w:r>
      <w:r>
        <w:rPr>
          <w:i/>
          <w:color w:val="231F20"/>
          <w:spacing w:val="70"/>
          <w:w w:val="150"/>
          <w:sz w:val="24"/>
        </w:rPr>
        <w:t>  </w:t>
      </w:r>
      <w:r>
        <w:rPr>
          <w:i/>
          <w:color w:val="231F20"/>
          <w:sz w:val="24"/>
        </w:rPr>
        <w:t>of</w:t>
      </w:r>
      <w:r>
        <w:rPr>
          <w:i/>
          <w:color w:val="231F20"/>
          <w:spacing w:val="70"/>
          <w:w w:val="150"/>
          <w:sz w:val="24"/>
        </w:rPr>
        <w:t>  </w:t>
      </w:r>
      <w:r>
        <w:rPr>
          <w:i/>
          <w:color w:val="231F20"/>
          <w:spacing w:val="-5"/>
          <w:sz w:val="24"/>
        </w:rPr>
        <w:t>the</w:t>
      </w:r>
    </w:p>
    <w:p>
      <w:pPr>
        <w:tabs>
          <w:tab w:pos="2275" w:val="left" w:leader="none"/>
        </w:tabs>
        <w:spacing w:before="0"/>
        <w:ind w:left="475" w:right="39" w:firstLine="0"/>
        <w:jc w:val="both"/>
        <w:rPr>
          <w:i/>
          <w:sz w:val="24"/>
        </w:rPr>
      </w:pPr>
      <w:r>
        <w:rPr>
          <w:i/>
          <w:color w:val="231F20"/>
          <w:sz w:val="24"/>
          <w:u w:val="single" w:color="221E1F"/>
        </w:rPr>
        <w:tab/>
      </w:r>
      <w:r>
        <w:rPr>
          <w:i/>
          <w:color w:val="231F20"/>
          <w:sz w:val="24"/>
        </w:rPr>
        <w:t> taken during the </w:t>
      </w:r>
      <w:r>
        <w:rPr>
          <w:i/>
          <w:color w:val="231F20"/>
          <w:sz w:val="24"/>
        </w:rPr>
        <w:t>open</w:t>
      </w:r>
      <w:r>
        <w:rPr>
          <w:i/>
          <w:color w:val="231F20"/>
          <w:sz w:val="24"/>
        </w:rPr>
        <w:t> meeting. The authority for the closed meeting and the subjects to be discussed shall be stated with reasonable specificity in the motion to</w:t>
      </w:r>
      <w:r>
        <w:rPr>
          <w:i/>
          <w:color w:val="231F20"/>
          <w:spacing w:val="40"/>
          <w:sz w:val="24"/>
        </w:rPr>
        <w:t> </w:t>
      </w:r>
      <w:r>
        <w:rPr>
          <w:i/>
          <w:color w:val="231F20"/>
          <w:sz w:val="24"/>
        </w:rPr>
        <w:t>close</w:t>
      </w:r>
      <w:r>
        <w:rPr>
          <w:i/>
          <w:color w:val="231F20"/>
          <w:spacing w:val="-2"/>
          <w:sz w:val="24"/>
        </w:rPr>
        <w:t> </w:t>
      </w:r>
      <w:r>
        <w:rPr>
          <w:i/>
          <w:color w:val="231F20"/>
          <w:sz w:val="24"/>
        </w:rPr>
        <w:t>and</w:t>
      </w:r>
      <w:r>
        <w:rPr>
          <w:i/>
          <w:color w:val="231F20"/>
          <w:spacing w:val="-2"/>
          <w:sz w:val="24"/>
        </w:rPr>
        <w:t> </w:t>
      </w:r>
      <w:r>
        <w:rPr>
          <w:i/>
          <w:color w:val="231F20"/>
          <w:sz w:val="24"/>
        </w:rPr>
        <w:t>the</w:t>
      </w:r>
      <w:r>
        <w:rPr>
          <w:i/>
          <w:color w:val="231F20"/>
          <w:spacing w:val="-2"/>
          <w:sz w:val="24"/>
        </w:rPr>
        <w:t> </w:t>
      </w:r>
      <w:r>
        <w:rPr>
          <w:i/>
          <w:color w:val="231F20"/>
          <w:sz w:val="24"/>
        </w:rPr>
        <w:t>vote</w:t>
      </w:r>
      <w:r>
        <w:rPr>
          <w:i/>
          <w:color w:val="231F20"/>
          <w:spacing w:val="-2"/>
          <w:sz w:val="24"/>
        </w:rPr>
        <w:t> </w:t>
      </w:r>
      <w:r>
        <w:rPr>
          <w:i/>
          <w:color w:val="231F20"/>
          <w:sz w:val="24"/>
        </w:rPr>
        <w:t>of each</w:t>
      </w:r>
      <w:r>
        <w:rPr>
          <w:i/>
          <w:color w:val="231F20"/>
          <w:spacing w:val="-2"/>
          <w:sz w:val="24"/>
        </w:rPr>
        <w:t> </w:t>
      </w:r>
      <w:r>
        <w:rPr>
          <w:i/>
          <w:color w:val="231F20"/>
          <w:sz w:val="24"/>
        </w:rPr>
        <w:t>individual</w:t>
      </w:r>
      <w:r>
        <w:rPr>
          <w:i/>
          <w:color w:val="231F20"/>
          <w:spacing w:val="-2"/>
          <w:sz w:val="24"/>
        </w:rPr>
        <w:t> </w:t>
      </w:r>
      <w:r>
        <w:rPr>
          <w:i/>
          <w:color w:val="231F20"/>
          <w:sz w:val="24"/>
        </w:rPr>
        <w:t>member</w:t>
      </w:r>
      <w:r>
        <w:rPr>
          <w:i/>
          <w:color w:val="231F20"/>
          <w:spacing w:val="-2"/>
          <w:sz w:val="24"/>
        </w:rPr>
        <w:t> </w:t>
      </w:r>
      <w:r>
        <w:rPr>
          <w:i/>
          <w:color w:val="231F20"/>
          <w:sz w:val="24"/>
        </w:rPr>
        <w:t>on the motion to close shall be recorded in the minutes. Only those subjects specified in the motion may be discussed in the closed meeting.</w:t>
      </w:r>
    </w:p>
    <w:p>
      <w:pPr>
        <w:pStyle w:val="BodyText"/>
        <w:rPr>
          <w:i/>
        </w:rPr>
      </w:pPr>
    </w:p>
    <w:p>
      <w:pPr>
        <w:pStyle w:val="ListParagraph"/>
        <w:numPr>
          <w:ilvl w:val="1"/>
          <w:numId w:val="9"/>
        </w:numPr>
        <w:tabs>
          <w:tab w:pos="855" w:val="left" w:leader="none"/>
        </w:tabs>
        <w:spacing w:line="240" w:lineRule="auto" w:before="0" w:after="0"/>
        <w:ind w:left="854" w:right="0" w:hanging="380"/>
        <w:jc w:val="both"/>
        <w:rPr>
          <w:i/>
          <w:sz w:val="24"/>
        </w:rPr>
      </w:pPr>
      <w:r>
        <w:rPr>
          <w:i/>
          <w:color w:val="231F20"/>
          <w:sz w:val="24"/>
        </w:rPr>
        <w:t>If</w:t>
      </w:r>
      <w:r>
        <w:rPr>
          <w:i/>
          <w:color w:val="231F20"/>
          <w:spacing w:val="38"/>
          <w:sz w:val="24"/>
        </w:rPr>
        <w:t> </w:t>
      </w:r>
      <w:r>
        <w:rPr>
          <w:i/>
          <w:color w:val="231F20"/>
          <w:sz w:val="24"/>
        </w:rPr>
        <w:t>a</w:t>
      </w:r>
      <w:r>
        <w:rPr>
          <w:i/>
          <w:color w:val="231F20"/>
          <w:spacing w:val="36"/>
          <w:sz w:val="24"/>
        </w:rPr>
        <w:t> </w:t>
      </w:r>
      <w:r>
        <w:rPr>
          <w:i/>
          <w:color w:val="231F20"/>
          <w:sz w:val="24"/>
        </w:rPr>
        <w:t>closed</w:t>
      </w:r>
      <w:r>
        <w:rPr>
          <w:i/>
          <w:color w:val="231F20"/>
          <w:spacing w:val="41"/>
          <w:sz w:val="24"/>
        </w:rPr>
        <w:t> </w:t>
      </w:r>
      <w:r>
        <w:rPr>
          <w:i/>
          <w:color w:val="231F20"/>
          <w:sz w:val="24"/>
        </w:rPr>
        <w:t>meeting</w:t>
      </w:r>
      <w:r>
        <w:rPr>
          <w:i/>
          <w:color w:val="231F20"/>
          <w:spacing w:val="40"/>
          <w:sz w:val="24"/>
        </w:rPr>
        <w:t> </w:t>
      </w:r>
      <w:r>
        <w:rPr>
          <w:i/>
          <w:color w:val="231F20"/>
          <w:sz w:val="24"/>
        </w:rPr>
        <w:t>is</w:t>
      </w:r>
      <w:r>
        <w:rPr>
          <w:i/>
          <w:color w:val="231F20"/>
          <w:spacing w:val="39"/>
          <w:sz w:val="24"/>
        </w:rPr>
        <w:t> </w:t>
      </w:r>
      <w:r>
        <w:rPr>
          <w:i/>
          <w:color w:val="231F20"/>
          <w:sz w:val="24"/>
        </w:rPr>
        <w:t>conducted</w:t>
      </w:r>
      <w:r>
        <w:rPr>
          <w:i/>
          <w:color w:val="231F20"/>
          <w:spacing w:val="41"/>
          <w:sz w:val="24"/>
        </w:rPr>
        <w:t> </w:t>
      </w:r>
      <w:r>
        <w:rPr>
          <w:i/>
          <w:color w:val="231F20"/>
          <w:sz w:val="24"/>
        </w:rPr>
        <w:t>when</w:t>
      </w:r>
      <w:r>
        <w:rPr>
          <w:i/>
          <w:color w:val="231F20"/>
          <w:spacing w:val="37"/>
          <w:sz w:val="24"/>
        </w:rPr>
        <w:t> </w:t>
      </w:r>
      <w:r>
        <w:rPr>
          <w:i/>
          <w:color w:val="231F20"/>
          <w:spacing w:val="-5"/>
          <w:sz w:val="24"/>
        </w:rPr>
        <w:t>the</w:t>
      </w:r>
    </w:p>
    <w:p>
      <w:pPr>
        <w:tabs>
          <w:tab w:pos="2635" w:val="left" w:leader="none"/>
        </w:tabs>
        <w:spacing w:line="240" w:lineRule="auto" w:before="0"/>
        <w:ind w:left="475" w:right="38" w:firstLine="0"/>
        <w:jc w:val="both"/>
        <w:rPr>
          <w:i/>
          <w:sz w:val="24"/>
        </w:rPr>
      </w:pPr>
      <w:r>
        <w:rPr>
          <w:i/>
          <w:sz w:val="24"/>
          <w:u w:val="single"/>
        </w:rPr>
        <w:tab/>
      </w:r>
      <w:r>
        <w:rPr>
          <w:i/>
          <w:sz w:val="24"/>
        </w:rPr>
        <w:t> is not in an </w:t>
      </w:r>
      <w:r>
        <w:rPr>
          <w:i/>
          <w:sz w:val="24"/>
        </w:rPr>
        <w:t>open</w:t>
      </w:r>
      <w:r>
        <w:rPr>
          <w:i/>
          <w:spacing w:val="40"/>
          <w:sz w:val="24"/>
        </w:rPr>
        <w:t> </w:t>
      </w:r>
      <w:r>
        <w:rPr>
          <w:i/>
          <w:sz w:val="24"/>
        </w:rPr>
        <w:t>meeting, the closed meeting shall not be held until </w:t>
      </w:r>
      <w:r>
        <w:rPr>
          <w:i/>
          <w:color w:val="231F20"/>
          <w:sz w:val="24"/>
        </w:rPr>
        <w:t>public notice, appropriate under the circumstances, stating the specific provision of law authorizing the closed meeting and the subjects to be discussed with reasonable specificity, is given to the members and to the general public.</w:t>
      </w:r>
    </w:p>
    <w:p>
      <w:pPr>
        <w:pStyle w:val="BodyText"/>
        <w:spacing w:before="9"/>
        <w:rPr>
          <w:i/>
          <w:sz w:val="23"/>
        </w:rPr>
      </w:pPr>
    </w:p>
    <w:p>
      <w:pPr>
        <w:pStyle w:val="ListParagraph"/>
        <w:numPr>
          <w:ilvl w:val="1"/>
          <w:numId w:val="9"/>
        </w:numPr>
        <w:tabs>
          <w:tab w:pos="804" w:val="left" w:leader="none"/>
        </w:tabs>
        <w:spacing w:line="240" w:lineRule="auto" w:before="1" w:after="0"/>
        <w:ind w:left="475" w:right="38" w:firstLine="0"/>
        <w:jc w:val="both"/>
        <w:rPr>
          <w:i/>
          <w:sz w:val="24"/>
        </w:rPr>
      </w:pPr>
      <w:r>
        <w:rPr>
          <w:i/>
          <w:color w:val="231F20"/>
          <w:sz w:val="24"/>
        </w:rPr>
        <w:t>Following</w:t>
      </w:r>
      <w:r>
        <w:rPr>
          <w:i/>
          <w:color w:val="231F20"/>
          <w:spacing w:val="-2"/>
          <w:sz w:val="24"/>
        </w:rPr>
        <w:t> </w:t>
      </w:r>
      <w:r>
        <w:rPr>
          <w:i/>
          <w:color w:val="231F20"/>
          <w:sz w:val="24"/>
        </w:rPr>
        <w:t>completion</w:t>
      </w:r>
      <w:r>
        <w:rPr>
          <w:i/>
          <w:color w:val="231F20"/>
          <w:spacing w:val="-2"/>
          <w:sz w:val="24"/>
        </w:rPr>
        <w:t> </w:t>
      </w:r>
      <w:r>
        <w:rPr>
          <w:i/>
          <w:color w:val="231F20"/>
          <w:sz w:val="24"/>
        </w:rPr>
        <w:t>of</w:t>
      </w:r>
      <w:r>
        <w:rPr>
          <w:i/>
          <w:color w:val="231F20"/>
          <w:spacing w:val="-1"/>
          <w:sz w:val="24"/>
        </w:rPr>
        <w:t> </w:t>
      </w:r>
      <w:r>
        <w:rPr>
          <w:i/>
          <w:color w:val="231F20"/>
          <w:sz w:val="24"/>
        </w:rPr>
        <w:t>any closed</w:t>
      </w:r>
      <w:r>
        <w:rPr>
          <w:i/>
          <w:color w:val="231F20"/>
          <w:spacing w:val="-2"/>
          <w:sz w:val="24"/>
        </w:rPr>
        <w:t> </w:t>
      </w:r>
      <w:r>
        <w:rPr>
          <w:i/>
          <w:color w:val="231F20"/>
          <w:sz w:val="24"/>
        </w:rPr>
        <w:t>meeting,</w:t>
      </w:r>
      <w:r>
        <w:rPr>
          <w:i/>
          <w:color w:val="231F20"/>
          <w:sz w:val="24"/>
        </w:rPr>
        <w:t> the</w:t>
      </w:r>
      <w:r>
        <w:rPr>
          <w:i/>
          <w:color w:val="231F20"/>
          <w:spacing w:val="-2"/>
          <w:sz w:val="24"/>
        </w:rPr>
        <w:t> </w:t>
      </w:r>
      <w:r>
        <w:rPr>
          <w:i/>
          <w:color w:val="231F20"/>
          <w:sz w:val="24"/>
        </w:rPr>
        <w:t>minutes of the</w:t>
      </w:r>
      <w:r>
        <w:rPr>
          <w:i/>
          <w:color w:val="231F20"/>
          <w:spacing w:val="-2"/>
          <w:sz w:val="24"/>
        </w:rPr>
        <w:t> </w:t>
      </w:r>
      <w:r>
        <w:rPr>
          <w:i/>
          <w:color w:val="231F20"/>
          <w:sz w:val="24"/>
        </w:rPr>
        <w:t>open</w:t>
      </w:r>
      <w:r>
        <w:rPr>
          <w:i/>
          <w:color w:val="231F20"/>
          <w:spacing w:val="-1"/>
          <w:sz w:val="24"/>
        </w:rPr>
        <w:t> </w:t>
      </w:r>
      <w:r>
        <w:rPr>
          <w:i/>
          <w:color w:val="231F20"/>
          <w:sz w:val="24"/>
        </w:rPr>
        <w:t>meeting</w:t>
      </w:r>
      <w:r>
        <w:rPr>
          <w:i/>
          <w:color w:val="231F20"/>
          <w:spacing w:val="-1"/>
          <w:sz w:val="24"/>
        </w:rPr>
        <w:t> </w:t>
      </w:r>
      <w:r>
        <w:rPr>
          <w:i/>
          <w:color w:val="231F20"/>
          <w:sz w:val="24"/>
        </w:rPr>
        <w:t>that was closed, or the minutes of the next open meeting if the closed meeting was separately scheduled, shall state</w:t>
      </w:r>
      <w:r>
        <w:rPr>
          <w:i/>
          <w:color w:val="231F20"/>
          <w:spacing w:val="-6"/>
          <w:sz w:val="24"/>
        </w:rPr>
        <w:t> </w:t>
      </w:r>
      <w:r>
        <w:rPr>
          <w:i/>
          <w:color w:val="231F20"/>
          <w:sz w:val="24"/>
        </w:rPr>
        <w:t>whether</w:t>
      </w:r>
      <w:r>
        <w:rPr>
          <w:i/>
          <w:color w:val="231F20"/>
          <w:spacing w:val="-5"/>
          <w:sz w:val="24"/>
        </w:rPr>
        <w:t> </w:t>
      </w:r>
      <w:r>
        <w:rPr>
          <w:i/>
          <w:color w:val="231F20"/>
          <w:sz w:val="24"/>
        </w:rPr>
        <w:t>the</w:t>
      </w:r>
      <w:r>
        <w:rPr>
          <w:i/>
          <w:color w:val="231F20"/>
          <w:spacing w:val="-4"/>
          <w:sz w:val="24"/>
        </w:rPr>
        <w:t> </w:t>
      </w:r>
      <w:r>
        <w:rPr>
          <w:i/>
          <w:color w:val="231F20"/>
          <w:sz w:val="24"/>
        </w:rPr>
        <w:t>matters</w:t>
      </w:r>
      <w:r>
        <w:rPr>
          <w:i/>
          <w:color w:val="231F20"/>
          <w:spacing w:val="-3"/>
          <w:sz w:val="24"/>
        </w:rPr>
        <w:t> </w:t>
      </w:r>
      <w:r>
        <w:rPr>
          <w:i/>
          <w:color w:val="231F20"/>
          <w:sz w:val="24"/>
        </w:rPr>
        <w:t>discussed</w:t>
      </w:r>
      <w:r>
        <w:rPr>
          <w:i/>
          <w:color w:val="231F20"/>
          <w:spacing w:val="-5"/>
          <w:sz w:val="24"/>
        </w:rPr>
        <w:t> </w:t>
      </w:r>
      <w:r>
        <w:rPr>
          <w:i/>
          <w:color w:val="231F20"/>
          <w:sz w:val="24"/>
        </w:rPr>
        <w:t>in</w:t>
      </w:r>
      <w:r>
        <w:rPr>
          <w:i/>
          <w:color w:val="231F20"/>
          <w:spacing w:val="-5"/>
          <w:sz w:val="24"/>
        </w:rPr>
        <w:t> </w:t>
      </w:r>
      <w:r>
        <w:rPr>
          <w:i/>
          <w:color w:val="231F20"/>
          <w:sz w:val="24"/>
        </w:rPr>
        <w:t>the</w:t>
      </w:r>
      <w:r>
        <w:rPr>
          <w:i/>
          <w:color w:val="231F20"/>
          <w:spacing w:val="-6"/>
          <w:sz w:val="24"/>
        </w:rPr>
        <w:t> </w:t>
      </w:r>
      <w:r>
        <w:rPr>
          <w:i/>
          <w:color w:val="231F20"/>
          <w:sz w:val="24"/>
        </w:rPr>
        <w:t>closed meeting were limited only to those specified in the motion or notice for closure.</w:t>
      </w:r>
    </w:p>
    <w:p>
      <w:pPr>
        <w:pStyle w:val="BodyText"/>
        <w:rPr>
          <w:i/>
        </w:rPr>
      </w:pPr>
    </w:p>
    <w:p>
      <w:pPr>
        <w:pStyle w:val="ListParagraph"/>
        <w:numPr>
          <w:ilvl w:val="1"/>
          <w:numId w:val="9"/>
        </w:numPr>
        <w:tabs>
          <w:tab w:pos="826" w:val="left" w:leader="none"/>
          <w:tab w:pos="4372" w:val="left" w:leader="none"/>
        </w:tabs>
        <w:spacing w:line="240" w:lineRule="auto" w:before="0" w:after="0"/>
        <w:ind w:left="475" w:right="39" w:firstLine="0"/>
        <w:jc w:val="both"/>
        <w:rPr>
          <w:i/>
          <w:sz w:val="24"/>
        </w:rPr>
      </w:pPr>
      <w:r>
        <w:rPr>
          <w:i/>
          <w:color w:val="231F20"/>
          <w:sz w:val="24"/>
        </w:rPr>
        <w:t>Except as provided in Section 10-15-1(H) of</w:t>
      </w:r>
      <w:r>
        <w:rPr>
          <w:i/>
          <w:color w:val="231F20"/>
          <w:sz w:val="24"/>
        </w:rPr>
        <w:t> the</w:t>
      </w:r>
      <w:r>
        <w:rPr>
          <w:i/>
          <w:color w:val="231F20"/>
          <w:sz w:val="24"/>
        </w:rPr>
        <w:t> Open Meetings Act, any action taken as a result</w:t>
      </w:r>
      <w:r>
        <w:rPr>
          <w:i/>
          <w:color w:val="231F20"/>
          <w:spacing w:val="-5"/>
          <w:sz w:val="24"/>
        </w:rPr>
        <w:t> </w:t>
      </w:r>
      <w:r>
        <w:rPr>
          <w:i/>
          <w:color w:val="231F20"/>
          <w:sz w:val="24"/>
        </w:rPr>
        <w:t>of</w:t>
      </w:r>
      <w:r>
        <w:rPr>
          <w:i/>
          <w:color w:val="231F20"/>
          <w:spacing w:val="-5"/>
          <w:sz w:val="24"/>
        </w:rPr>
        <w:t> </w:t>
      </w:r>
      <w:r>
        <w:rPr>
          <w:i/>
          <w:color w:val="231F20"/>
          <w:sz w:val="24"/>
        </w:rPr>
        <w:t>discussions</w:t>
      </w:r>
      <w:r>
        <w:rPr>
          <w:i/>
          <w:color w:val="231F20"/>
          <w:spacing w:val="-5"/>
          <w:sz w:val="24"/>
        </w:rPr>
        <w:t> </w:t>
      </w:r>
      <w:r>
        <w:rPr>
          <w:i/>
          <w:color w:val="231F20"/>
          <w:sz w:val="24"/>
        </w:rPr>
        <w:t>in</w:t>
      </w:r>
      <w:r>
        <w:rPr>
          <w:i/>
          <w:color w:val="231F20"/>
          <w:spacing w:val="-5"/>
          <w:sz w:val="24"/>
        </w:rPr>
        <w:t> </w:t>
      </w:r>
      <w:r>
        <w:rPr>
          <w:i/>
          <w:color w:val="231F20"/>
          <w:sz w:val="24"/>
        </w:rPr>
        <w:t>a</w:t>
      </w:r>
      <w:r>
        <w:rPr>
          <w:i/>
          <w:color w:val="231F20"/>
          <w:spacing w:val="-7"/>
          <w:sz w:val="24"/>
        </w:rPr>
        <w:t> </w:t>
      </w:r>
      <w:r>
        <w:rPr>
          <w:i/>
          <w:color w:val="231F20"/>
          <w:sz w:val="24"/>
        </w:rPr>
        <w:t>closed</w:t>
      </w:r>
      <w:r>
        <w:rPr>
          <w:i/>
          <w:color w:val="231F20"/>
          <w:spacing w:val="-5"/>
          <w:sz w:val="24"/>
        </w:rPr>
        <w:t> </w:t>
      </w:r>
      <w:r>
        <w:rPr>
          <w:i/>
          <w:color w:val="231F20"/>
          <w:sz w:val="24"/>
        </w:rPr>
        <w:t>meeting</w:t>
      </w:r>
      <w:r>
        <w:rPr>
          <w:i/>
          <w:color w:val="231F20"/>
          <w:spacing w:val="-5"/>
          <w:sz w:val="24"/>
        </w:rPr>
        <w:t> </w:t>
      </w:r>
      <w:r>
        <w:rPr>
          <w:i/>
          <w:color w:val="231F20"/>
          <w:sz w:val="24"/>
        </w:rPr>
        <w:t>shall</w:t>
      </w:r>
      <w:r>
        <w:rPr>
          <w:i/>
          <w:color w:val="231F20"/>
          <w:spacing w:val="-5"/>
          <w:sz w:val="24"/>
        </w:rPr>
        <w:t> </w:t>
      </w:r>
      <w:r>
        <w:rPr>
          <w:i/>
          <w:color w:val="231F20"/>
          <w:sz w:val="24"/>
        </w:rPr>
        <w:t>be made</w:t>
      </w:r>
      <w:r>
        <w:rPr>
          <w:i/>
          <w:color w:val="231F20"/>
          <w:spacing w:val="70"/>
          <w:sz w:val="24"/>
        </w:rPr>
        <w:t> </w:t>
      </w:r>
      <w:r>
        <w:rPr>
          <w:i/>
          <w:color w:val="231F20"/>
          <w:sz w:val="24"/>
        </w:rPr>
        <w:t>by</w:t>
      </w:r>
      <w:r>
        <w:rPr>
          <w:i/>
          <w:color w:val="231F20"/>
          <w:spacing w:val="73"/>
          <w:sz w:val="24"/>
        </w:rPr>
        <w:t> </w:t>
      </w:r>
      <w:r>
        <w:rPr>
          <w:i/>
          <w:color w:val="231F20"/>
          <w:sz w:val="24"/>
        </w:rPr>
        <w:t>vote</w:t>
      </w:r>
      <w:r>
        <w:rPr>
          <w:i/>
          <w:color w:val="231F20"/>
          <w:spacing w:val="73"/>
          <w:sz w:val="24"/>
        </w:rPr>
        <w:t> </w:t>
      </w:r>
      <w:r>
        <w:rPr>
          <w:i/>
          <w:color w:val="231F20"/>
          <w:sz w:val="24"/>
        </w:rPr>
        <w:t>of</w:t>
      </w:r>
      <w:r>
        <w:rPr>
          <w:i/>
          <w:color w:val="231F20"/>
          <w:spacing w:val="72"/>
          <w:sz w:val="24"/>
        </w:rPr>
        <w:t> </w:t>
      </w:r>
      <w:r>
        <w:rPr>
          <w:i/>
          <w:color w:val="231F20"/>
          <w:sz w:val="24"/>
        </w:rPr>
        <w:t>the</w:t>
      </w:r>
      <w:r>
        <w:rPr>
          <w:i/>
          <w:color w:val="231F20"/>
          <w:spacing w:val="56"/>
          <w:sz w:val="24"/>
        </w:rPr>
        <w:t> </w:t>
      </w:r>
      <w:r>
        <w:rPr>
          <w:i/>
          <w:color w:val="231F20"/>
          <w:sz w:val="24"/>
          <w:u w:val="single" w:color="221E1F"/>
        </w:rPr>
        <w:tab/>
      </w:r>
      <w:r>
        <w:rPr>
          <w:i/>
          <w:color w:val="231F20"/>
          <w:spacing w:val="40"/>
          <w:sz w:val="24"/>
        </w:rPr>
        <w:t>  </w:t>
      </w:r>
      <w:r>
        <w:rPr>
          <w:i/>
          <w:sz w:val="24"/>
        </w:rPr>
        <w:t>in</w:t>
      </w:r>
      <w:r>
        <w:rPr>
          <w:i/>
          <w:spacing w:val="46"/>
          <w:sz w:val="24"/>
        </w:rPr>
        <w:t> </w:t>
      </w:r>
      <w:r>
        <w:rPr>
          <w:i/>
          <w:sz w:val="24"/>
        </w:rPr>
        <w:t>an</w:t>
      </w:r>
    </w:p>
    <w:p>
      <w:pPr>
        <w:pStyle w:val="BodyText"/>
        <w:ind w:left="475"/>
      </w:pPr>
      <w:r>
        <w:rPr/>
        <w:br w:type="column"/>
      </w:r>
      <w:bookmarkStart w:name="Commentary" w:id="71"/>
      <w:bookmarkEnd w:id="71"/>
      <w:r>
        <w:rPr/>
      </w:r>
      <w:r>
        <w:rPr>
          <w:color w:val="231F20"/>
          <w:spacing w:val="-2"/>
          <w:u w:val="single" w:color="231F20"/>
        </w:rPr>
        <w:t>Commentary</w:t>
      </w:r>
    </w:p>
    <w:p>
      <w:pPr>
        <w:pStyle w:val="BodyText"/>
        <w:spacing w:before="11"/>
        <w:rPr>
          <w:sz w:val="23"/>
        </w:rPr>
      </w:pPr>
    </w:p>
    <w:p>
      <w:pPr>
        <w:pStyle w:val="BodyText"/>
        <w:ind w:left="475" w:right="598"/>
        <w:jc w:val="both"/>
      </w:pPr>
      <w:r>
        <w:rPr>
          <w:color w:val="231F20"/>
        </w:rPr>
        <w:t>As indicated in the model notice resolution set forth above in Example 22, meeting notices</w:t>
      </w:r>
      <w:r>
        <w:rPr>
          <w:color w:val="231F20"/>
          <w:spacing w:val="40"/>
        </w:rPr>
        <w:t> </w:t>
      </w:r>
      <w:r>
        <w:rPr>
          <w:color w:val="231F20"/>
        </w:rPr>
        <w:t>must include specified information about agendas and all meetings, including closed meetings, require advance notice to the public. The specific provisions of the agenda requirements and procedures for </w:t>
      </w:r>
      <w:r>
        <w:rPr>
          <w:color w:val="231F20"/>
        </w:rPr>
        <w:t>closing meetings will be discussed below.</w:t>
      </w:r>
    </w:p>
    <w:p>
      <w:pPr>
        <w:pStyle w:val="BodyText"/>
        <w:spacing w:before="6"/>
      </w:pPr>
    </w:p>
    <w:p>
      <w:pPr>
        <w:pStyle w:val="Heading2"/>
        <w:numPr>
          <w:ilvl w:val="0"/>
          <w:numId w:val="6"/>
        </w:numPr>
        <w:tabs>
          <w:tab w:pos="802" w:val="left" w:leader="none"/>
        </w:tabs>
        <w:spacing w:line="240" w:lineRule="auto" w:before="0" w:after="0"/>
        <w:ind w:left="801" w:right="0" w:hanging="327"/>
        <w:jc w:val="left"/>
      </w:pPr>
      <w:bookmarkStart w:name="_TOC_250015" w:id="72"/>
      <w:bookmarkStart w:name="E. Reconvened Meetings" w:id="73"/>
      <w:r>
        <w:rPr>
          <w:color w:val="231F20"/>
        </w:rPr>
        <w:t>R</w:t>
      </w:r>
      <w:r>
        <w:rPr>
          <w:color w:val="231F20"/>
        </w:rPr>
        <w:t>econvened</w:t>
      </w:r>
      <w:r>
        <w:rPr>
          <w:color w:val="231F20"/>
          <w:spacing w:val="-6"/>
        </w:rPr>
        <w:t> </w:t>
      </w:r>
      <w:bookmarkEnd w:id="72"/>
      <w:r>
        <w:rPr>
          <w:color w:val="231F20"/>
          <w:spacing w:val="-2"/>
        </w:rPr>
        <w:t>Meetings</w:t>
      </w:r>
    </w:p>
    <w:p>
      <w:pPr>
        <w:pStyle w:val="BodyText"/>
        <w:spacing w:before="10"/>
        <w:rPr>
          <w:b/>
          <w:sz w:val="23"/>
        </w:rPr>
      </w:pPr>
    </w:p>
    <w:p>
      <w:pPr>
        <w:spacing w:before="0"/>
        <w:ind w:left="475" w:right="0" w:firstLine="0"/>
        <w:jc w:val="both"/>
        <w:rPr>
          <w:b/>
          <w:sz w:val="24"/>
        </w:rPr>
      </w:pPr>
      <w:bookmarkStart w:name="The Law" w:id="74"/>
      <w:bookmarkEnd w:id="74"/>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596" w:firstLine="0"/>
        <w:jc w:val="both"/>
        <w:rPr>
          <w:b/>
          <w:sz w:val="24"/>
        </w:rPr>
      </w:pPr>
      <w:r>
        <w:rPr>
          <w:b/>
          <w:color w:val="231F20"/>
          <w:sz w:val="24"/>
        </w:rPr>
        <w:t>A public body may recess and reconvene a meeting to a day subsequent to that stated in the meeting notice if, prior to recessing, the public body specifies the date, time and place for continuation of the meeting, and, immediately following the recessed meeting, posts notice</w:t>
      </w:r>
      <w:r>
        <w:rPr>
          <w:b/>
          <w:color w:val="231F20"/>
          <w:sz w:val="24"/>
        </w:rPr>
        <w:t> of</w:t>
      </w:r>
      <w:r>
        <w:rPr>
          <w:b/>
          <w:color w:val="231F20"/>
          <w:sz w:val="24"/>
        </w:rPr>
        <w:t> the date,</w:t>
      </w:r>
      <w:r>
        <w:rPr>
          <w:b/>
          <w:color w:val="231F20"/>
          <w:sz w:val="24"/>
        </w:rPr>
        <w:t> time</w:t>
      </w:r>
      <w:r>
        <w:rPr>
          <w:b/>
          <w:color w:val="231F20"/>
          <w:sz w:val="24"/>
        </w:rPr>
        <w:t> and place for</w:t>
      </w:r>
      <w:r>
        <w:rPr>
          <w:b/>
          <w:color w:val="231F20"/>
          <w:spacing w:val="40"/>
          <w:sz w:val="24"/>
        </w:rPr>
        <w:t> </w:t>
      </w:r>
      <w:r>
        <w:rPr>
          <w:b/>
          <w:color w:val="231F20"/>
          <w:sz w:val="24"/>
        </w:rPr>
        <w:t>the reconvened meeting on or near the door of the place where the original meeting was held and in at least</w:t>
      </w:r>
      <w:r>
        <w:rPr>
          <w:b/>
          <w:color w:val="231F20"/>
          <w:sz w:val="24"/>
        </w:rPr>
        <w:t> one other location appropriate to provide public notice</w:t>
      </w:r>
      <w:r>
        <w:rPr>
          <w:b/>
          <w:color w:val="231F20"/>
          <w:sz w:val="24"/>
        </w:rPr>
        <w:t> of</w:t>
      </w:r>
      <w:r>
        <w:rPr>
          <w:b/>
          <w:color w:val="231F20"/>
          <w:sz w:val="24"/>
        </w:rPr>
        <w:t> the continuation of the meeting. Only matters appearing on the agenda of the original meeting may be discussed at the reconvened </w:t>
      </w:r>
      <w:r>
        <w:rPr>
          <w:b/>
          <w:color w:val="231F20"/>
          <w:spacing w:val="-2"/>
          <w:sz w:val="24"/>
        </w:rPr>
        <w:t>meeting.</w:t>
      </w:r>
    </w:p>
    <w:p>
      <w:pPr>
        <w:pStyle w:val="BodyText"/>
        <w:spacing w:before="7"/>
        <w:rPr>
          <w:b/>
          <w:sz w:val="23"/>
        </w:rPr>
      </w:pPr>
    </w:p>
    <w:p>
      <w:pPr>
        <w:pStyle w:val="BodyText"/>
        <w:ind w:left="475"/>
      </w:pPr>
      <w:bookmarkStart w:name="Commentary" w:id="75"/>
      <w:bookmarkEnd w:id="75"/>
      <w:r>
        <w:rPr/>
      </w:r>
      <w:r>
        <w:rPr>
          <w:color w:val="231F20"/>
          <w:spacing w:val="-2"/>
          <w:u w:val="single" w:color="231F20"/>
        </w:rPr>
        <w:t>Commentary</w:t>
      </w:r>
    </w:p>
    <w:p>
      <w:pPr>
        <w:pStyle w:val="BodyText"/>
      </w:pPr>
    </w:p>
    <w:p>
      <w:pPr>
        <w:pStyle w:val="BodyText"/>
        <w:ind w:left="475" w:right="599"/>
        <w:jc w:val="both"/>
      </w:pPr>
      <w:r>
        <w:rPr>
          <w:color w:val="231F20"/>
        </w:rPr>
        <w:t>Sometimes, a public body may convene a meeting and then, because of the length of the meeting or other circumstances, be forced to recess and continue the meeting on another day. If this happens, the public body, before</w:t>
      </w:r>
      <w:r>
        <w:rPr>
          <w:color w:val="231F20"/>
          <w:spacing w:val="40"/>
        </w:rPr>
        <w:t> </w:t>
      </w:r>
      <w:r>
        <w:rPr>
          <w:color w:val="231F20"/>
        </w:rPr>
        <w:t>recessing the meeting, must state the date, time and place for continuation of the meeting. Immediately after the meeting is recessed, the public body also must post notice of the continuation on or near the door of the place where the meeting originated and in at least one other location where it is likely that people interested</w:t>
      </w:r>
      <w:r>
        <w:rPr>
          <w:color w:val="231F20"/>
          <w:spacing w:val="26"/>
        </w:rPr>
        <w:t> </w:t>
      </w:r>
      <w:r>
        <w:rPr>
          <w:color w:val="231F20"/>
        </w:rPr>
        <w:t>in</w:t>
      </w:r>
      <w:r>
        <w:rPr>
          <w:color w:val="231F20"/>
          <w:spacing w:val="30"/>
        </w:rPr>
        <w:t> </w:t>
      </w:r>
      <w:r>
        <w:rPr>
          <w:color w:val="231F20"/>
        </w:rPr>
        <w:t>attending</w:t>
      </w:r>
      <w:r>
        <w:rPr>
          <w:color w:val="231F20"/>
          <w:spacing w:val="26"/>
        </w:rPr>
        <w:t> </w:t>
      </w:r>
      <w:r>
        <w:rPr>
          <w:color w:val="231F20"/>
        </w:rPr>
        <w:t>the</w:t>
      </w:r>
      <w:r>
        <w:rPr>
          <w:color w:val="231F20"/>
          <w:spacing w:val="26"/>
        </w:rPr>
        <w:t> </w:t>
      </w:r>
      <w:r>
        <w:rPr>
          <w:color w:val="231F20"/>
        </w:rPr>
        <w:t>meeting</w:t>
      </w:r>
      <w:r>
        <w:rPr>
          <w:color w:val="231F20"/>
          <w:spacing w:val="27"/>
        </w:rPr>
        <w:t> </w:t>
      </w:r>
      <w:r>
        <w:rPr>
          <w:color w:val="231F20"/>
        </w:rPr>
        <w:t>will</w:t>
      </w:r>
      <w:r>
        <w:rPr>
          <w:color w:val="231F20"/>
          <w:spacing w:val="27"/>
        </w:rPr>
        <w:t> </w:t>
      </w:r>
      <w:r>
        <w:rPr>
          <w:color w:val="231F20"/>
        </w:rPr>
        <w:t>see</w:t>
      </w:r>
      <w:r>
        <w:rPr>
          <w:color w:val="231F20"/>
          <w:spacing w:val="26"/>
        </w:rPr>
        <w:t> </w:t>
      </w:r>
      <w:r>
        <w:rPr>
          <w:color w:val="231F20"/>
          <w:spacing w:val="-5"/>
        </w:rPr>
        <w:t>the</w:t>
      </w:r>
    </w:p>
    <w:p>
      <w:pPr>
        <w:spacing w:after="0"/>
        <w:jc w:val="both"/>
        <w:sectPr>
          <w:type w:val="continuous"/>
          <w:pgSz w:w="12240" w:h="15840"/>
          <w:pgMar w:header="660" w:footer="484" w:top="480" w:bottom="280" w:left="360" w:right="240"/>
          <w:cols w:num="2" w:equalWidth="0">
            <w:col w:w="5198" w:space="684"/>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40"/>
        <w:jc w:val="both"/>
      </w:pPr>
      <w:r>
        <w:rPr>
          <w:color w:val="231F20"/>
        </w:rPr>
        <w:t>notice. The public body may not discuss items</w:t>
      </w:r>
      <w:r>
        <w:rPr>
          <w:color w:val="231F20"/>
          <w:spacing w:val="40"/>
        </w:rPr>
        <w:t> </w:t>
      </w:r>
      <w:r>
        <w:rPr>
          <w:color w:val="231F20"/>
        </w:rPr>
        <w:t>at the reconvened meeting that were not on the agenda of the original meeting.</w:t>
      </w:r>
    </w:p>
    <w:p>
      <w:pPr>
        <w:pStyle w:val="BodyText"/>
        <w:spacing w:before="11"/>
        <w:rPr>
          <w:sz w:val="23"/>
        </w:rPr>
      </w:pPr>
    </w:p>
    <w:p>
      <w:pPr>
        <w:spacing w:before="0"/>
        <w:ind w:left="475" w:right="0" w:firstLine="0"/>
        <w:jc w:val="both"/>
        <w:rPr>
          <w:i/>
          <w:sz w:val="24"/>
        </w:rPr>
      </w:pPr>
      <w:bookmarkStart w:name="Example 23:" w:id="76"/>
      <w:bookmarkEnd w:id="7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23:</w:t>
      </w:r>
    </w:p>
    <w:p>
      <w:pPr>
        <w:pStyle w:val="BodyText"/>
        <w:rPr>
          <w:i/>
        </w:rPr>
      </w:pPr>
    </w:p>
    <w:p>
      <w:pPr>
        <w:spacing w:before="0"/>
        <w:ind w:left="475" w:right="38" w:firstLine="0"/>
        <w:jc w:val="both"/>
        <w:rPr>
          <w:i/>
          <w:sz w:val="24"/>
        </w:rPr>
      </w:pPr>
      <w:r>
        <w:rPr>
          <w:i/>
          <w:color w:val="231F20"/>
          <w:sz w:val="24"/>
        </w:rPr>
        <w:t>A municipal zoning commission holds a hearing</w:t>
      </w:r>
      <w:r>
        <w:rPr>
          <w:i/>
          <w:color w:val="231F20"/>
          <w:sz w:val="24"/>
        </w:rPr>
        <w:t> on a variance request. More people than anticipated appear to provide testimony for and against the variance. The commission wants to be sure that it receives input from all interested parties. At midnight, there are still several people left who wish to testify. The commission votes to recess the meeting and, before recessing, announces that the meeting will be reconvened</w:t>
      </w:r>
      <w:r>
        <w:rPr>
          <w:i/>
          <w:color w:val="231F20"/>
          <w:spacing w:val="-2"/>
          <w:sz w:val="24"/>
        </w:rPr>
        <w:t> </w:t>
      </w:r>
      <w:r>
        <w:rPr>
          <w:i/>
          <w:color w:val="231F20"/>
          <w:sz w:val="24"/>
        </w:rPr>
        <w:t>the</w:t>
      </w:r>
      <w:r>
        <w:rPr>
          <w:i/>
          <w:color w:val="231F20"/>
          <w:spacing w:val="-1"/>
          <w:sz w:val="24"/>
        </w:rPr>
        <w:t> </w:t>
      </w:r>
      <w:r>
        <w:rPr>
          <w:i/>
          <w:color w:val="231F20"/>
          <w:sz w:val="24"/>
        </w:rPr>
        <w:t>following</w:t>
      </w:r>
      <w:r>
        <w:rPr>
          <w:i/>
          <w:color w:val="231F20"/>
          <w:spacing w:val="-2"/>
          <w:sz w:val="24"/>
        </w:rPr>
        <w:t> </w:t>
      </w:r>
      <w:r>
        <w:rPr>
          <w:i/>
          <w:color w:val="231F20"/>
          <w:sz w:val="24"/>
        </w:rPr>
        <w:t>day</w:t>
      </w:r>
      <w:r>
        <w:rPr>
          <w:i/>
          <w:color w:val="231F20"/>
          <w:spacing w:val="-3"/>
          <w:sz w:val="24"/>
        </w:rPr>
        <w:t> </w:t>
      </w:r>
      <w:r>
        <w:rPr>
          <w:i/>
          <w:color w:val="231F20"/>
          <w:sz w:val="24"/>
        </w:rPr>
        <w:t>at 5:30</w:t>
      </w:r>
      <w:r>
        <w:rPr>
          <w:i/>
          <w:color w:val="231F20"/>
          <w:spacing w:val="-2"/>
          <w:sz w:val="24"/>
        </w:rPr>
        <w:t> </w:t>
      </w:r>
      <w:r>
        <w:rPr>
          <w:i/>
          <w:color w:val="231F20"/>
          <w:sz w:val="24"/>
        </w:rPr>
        <w:t>p.m.</w:t>
      </w:r>
      <w:r>
        <w:rPr>
          <w:i/>
          <w:color w:val="231F20"/>
          <w:spacing w:val="-2"/>
          <w:sz w:val="24"/>
        </w:rPr>
        <w:t> </w:t>
      </w:r>
      <w:r>
        <w:rPr>
          <w:i/>
          <w:color w:val="231F20"/>
          <w:sz w:val="24"/>
        </w:rPr>
        <w:t>in</w:t>
      </w:r>
      <w:r>
        <w:rPr>
          <w:i/>
          <w:color w:val="231F20"/>
          <w:spacing w:val="-2"/>
          <w:sz w:val="24"/>
        </w:rPr>
        <w:t> </w:t>
      </w:r>
      <w:r>
        <w:rPr>
          <w:i/>
          <w:color w:val="231F20"/>
          <w:sz w:val="24"/>
        </w:rPr>
        <w:t>the same room. After the meeting is recessed, a notice stating that the meeting will reconvene at the specified date, time and place is posted next to the door of the place where the meeting was held and on the bulletin board outside the commission’s offices.</w:t>
      </w:r>
    </w:p>
    <w:p>
      <w:pPr>
        <w:pStyle w:val="BodyText"/>
        <w:rPr>
          <w:i/>
        </w:rPr>
      </w:pPr>
    </w:p>
    <w:p>
      <w:pPr>
        <w:spacing w:before="1"/>
        <w:ind w:left="475" w:right="0" w:firstLine="0"/>
        <w:jc w:val="both"/>
        <w:rPr>
          <w:i/>
          <w:sz w:val="24"/>
        </w:rPr>
      </w:pPr>
      <w:bookmarkStart w:name="Example 24:" w:id="77"/>
      <w:bookmarkEnd w:id="7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24:</w:t>
      </w:r>
    </w:p>
    <w:p>
      <w:pPr>
        <w:pStyle w:val="BodyText"/>
        <w:spacing w:before="11"/>
        <w:rPr>
          <w:i/>
          <w:sz w:val="23"/>
        </w:rPr>
      </w:pPr>
    </w:p>
    <w:p>
      <w:pPr>
        <w:spacing w:line="240" w:lineRule="auto" w:before="0"/>
        <w:ind w:left="475" w:right="38" w:firstLine="0"/>
        <w:jc w:val="both"/>
        <w:rPr>
          <w:i/>
          <w:sz w:val="24"/>
        </w:rPr>
      </w:pPr>
      <w:r>
        <w:rPr>
          <w:i/>
          <w:color w:val="231F20"/>
          <w:sz w:val="24"/>
        </w:rPr>
        <w:t>A</w:t>
      </w:r>
      <w:r>
        <w:rPr>
          <w:i/>
          <w:color w:val="231F20"/>
          <w:spacing w:val="-2"/>
          <w:sz w:val="24"/>
        </w:rPr>
        <w:t> </w:t>
      </w:r>
      <w:r>
        <w:rPr>
          <w:i/>
          <w:color w:val="231F20"/>
          <w:sz w:val="24"/>
        </w:rPr>
        <w:t>state</w:t>
      </w:r>
      <w:r>
        <w:rPr>
          <w:i/>
          <w:color w:val="231F20"/>
          <w:spacing w:val="-3"/>
          <w:sz w:val="24"/>
        </w:rPr>
        <w:t> </w:t>
      </w:r>
      <w:r>
        <w:rPr>
          <w:i/>
          <w:color w:val="231F20"/>
          <w:sz w:val="24"/>
        </w:rPr>
        <w:t>board</w:t>
      </w:r>
      <w:r>
        <w:rPr>
          <w:i/>
          <w:color w:val="231F20"/>
          <w:spacing w:val="-2"/>
          <w:sz w:val="24"/>
        </w:rPr>
        <w:t> </w:t>
      </w:r>
      <w:r>
        <w:rPr>
          <w:i/>
          <w:color w:val="231F20"/>
          <w:sz w:val="24"/>
        </w:rPr>
        <w:t>holds</w:t>
      </w:r>
      <w:r>
        <w:rPr>
          <w:i/>
          <w:color w:val="231F20"/>
          <w:spacing w:val="-4"/>
          <w:sz w:val="24"/>
        </w:rPr>
        <w:t> </w:t>
      </w:r>
      <w:r>
        <w:rPr>
          <w:i/>
          <w:color w:val="231F20"/>
          <w:sz w:val="24"/>
        </w:rPr>
        <w:t>a</w:t>
      </w:r>
      <w:r>
        <w:rPr>
          <w:i/>
          <w:color w:val="231F20"/>
          <w:spacing w:val="-2"/>
          <w:sz w:val="24"/>
        </w:rPr>
        <w:t> </w:t>
      </w:r>
      <w:r>
        <w:rPr>
          <w:i/>
          <w:color w:val="231F20"/>
          <w:sz w:val="24"/>
        </w:rPr>
        <w:t>meeting</w:t>
      </w:r>
      <w:r>
        <w:rPr>
          <w:i/>
          <w:color w:val="231F20"/>
          <w:spacing w:val="-2"/>
          <w:sz w:val="24"/>
        </w:rPr>
        <w:t> </w:t>
      </w:r>
      <w:r>
        <w:rPr>
          <w:i/>
          <w:color w:val="231F20"/>
          <w:sz w:val="24"/>
        </w:rPr>
        <w:t>that</w:t>
      </w:r>
      <w:r>
        <w:rPr>
          <w:i/>
          <w:color w:val="231F20"/>
          <w:spacing w:val="-2"/>
          <w:sz w:val="24"/>
        </w:rPr>
        <w:t> </w:t>
      </w:r>
      <w:r>
        <w:rPr>
          <w:i/>
          <w:color w:val="231F20"/>
          <w:sz w:val="24"/>
        </w:rPr>
        <w:t>is</w:t>
      </w:r>
      <w:r>
        <w:rPr>
          <w:i/>
          <w:color w:val="231F20"/>
          <w:spacing w:val="-4"/>
          <w:sz w:val="24"/>
        </w:rPr>
        <w:t> </w:t>
      </w:r>
      <w:r>
        <w:rPr>
          <w:i/>
          <w:color w:val="231F20"/>
          <w:sz w:val="24"/>
        </w:rPr>
        <w:t>interrupted</w:t>
      </w:r>
      <w:r>
        <w:rPr>
          <w:i/>
          <w:color w:val="231F20"/>
          <w:sz w:val="24"/>
        </w:rPr>
        <w:t> by</w:t>
      </w:r>
      <w:r>
        <w:rPr>
          <w:i/>
          <w:color w:val="231F20"/>
          <w:spacing w:val="-3"/>
          <w:sz w:val="24"/>
        </w:rPr>
        <w:t> </w:t>
      </w:r>
      <w:r>
        <w:rPr>
          <w:i/>
          <w:color w:val="231F20"/>
          <w:sz w:val="24"/>
        </w:rPr>
        <w:t>a</w:t>
      </w:r>
      <w:r>
        <w:rPr>
          <w:i/>
          <w:color w:val="231F20"/>
          <w:spacing w:val="-2"/>
          <w:sz w:val="24"/>
        </w:rPr>
        <w:t> </w:t>
      </w:r>
      <w:r>
        <w:rPr>
          <w:i/>
          <w:color w:val="231F20"/>
          <w:sz w:val="24"/>
        </w:rPr>
        <w:t>bomb</w:t>
      </w:r>
      <w:r>
        <w:rPr>
          <w:i/>
          <w:color w:val="231F20"/>
          <w:spacing w:val="-2"/>
          <w:sz w:val="24"/>
        </w:rPr>
        <w:t> </w:t>
      </w:r>
      <w:r>
        <w:rPr>
          <w:i/>
          <w:color w:val="231F20"/>
          <w:sz w:val="24"/>
        </w:rPr>
        <w:t>threat</w:t>
      </w:r>
      <w:r>
        <w:rPr>
          <w:i/>
          <w:color w:val="231F20"/>
          <w:spacing w:val="-2"/>
          <w:sz w:val="24"/>
        </w:rPr>
        <w:t> </w:t>
      </w:r>
      <w:r>
        <w:rPr>
          <w:i/>
          <w:color w:val="231F20"/>
          <w:sz w:val="24"/>
        </w:rPr>
        <w:t>in</w:t>
      </w:r>
      <w:r>
        <w:rPr>
          <w:i/>
          <w:color w:val="231F20"/>
          <w:spacing w:val="-2"/>
          <w:sz w:val="24"/>
        </w:rPr>
        <w:t> </w:t>
      </w:r>
      <w:r>
        <w:rPr>
          <w:i/>
          <w:color w:val="231F20"/>
          <w:sz w:val="24"/>
        </w:rPr>
        <w:t>the</w:t>
      </w:r>
      <w:r>
        <w:rPr>
          <w:i/>
          <w:color w:val="231F20"/>
          <w:spacing w:val="-3"/>
          <w:sz w:val="24"/>
        </w:rPr>
        <w:t> </w:t>
      </w:r>
      <w:r>
        <w:rPr>
          <w:i/>
          <w:color w:val="231F20"/>
          <w:sz w:val="24"/>
        </w:rPr>
        <w:t>building.</w:t>
      </w:r>
      <w:r>
        <w:rPr>
          <w:i/>
          <w:color w:val="231F20"/>
          <w:spacing w:val="-2"/>
          <w:sz w:val="24"/>
        </w:rPr>
        <w:t> </w:t>
      </w:r>
      <w:r>
        <w:rPr>
          <w:i/>
          <w:color w:val="231F20"/>
          <w:sz w:val="24"/>
        </w:rPr>
        <w:t>A</w:t>
      </w:r>
      <w:r>
        <w:rPr>
          <w:i/>
          <w:color w:val="231F20"/>
          <w:spacing w:val="-2"/>
          <w:sz w:val="24"/>
        </w:rPr>
        <w:t> </w:t>
      </w:r>
      <w:r>
        <w:rPr>
          <w:i/>
          <w:color w:val="231F20"/>
          <w:sz w:val="24"/>
        </w:rPr>
        <w:t>search</w:t>
      </w:r>
      <w:r>
        <w:rPr>
          <w:i/>
          <w:color w:val="231F20"/>
          <w:spacing w:val="-2"/>
          <w:sz w:val="24"/>
        </w:rPr>
        <w:t> </w:t>
      </w:r>
      <w:r>
        <w:rPr>
          <w:i/>
          <w:color w:val="231F20"/>
          <w:sz w:val="24"/>
        </w:rPr>
        <w:t>of</w:t>
      </w:r>
      <w:r>
        <w:rPr>
          <w:i/>
          <w:color w:val="231F20"/>
          <w:spacing w:val="-2"/>
          <w:sz w:val="24"/>
        </w:rPr>
        <w:t> </w:t>
      </w:r>
      <w:r>
        <w:rPr>
          <w:i/>
          <w:color w:val="231F20"/>
          <w:sz w:val="24"/>
        </w:rPr>
        <w:t>the building</w:t>
      </w:r>
      <w:r>
        <w:rPr>
          <w:i/>
          <w:color w:val="231F20"/>
          <w:spacing w:val="-4"/>
          <w:sz w:val="24"/>
        </w:rPr>
        <w:t> </w:t>
      </w:r>
      <w:r>
        <w:rPr>
          <w:i/>
          <w:color w:val="231F20"/>
          <w:sz w:val="24"/>
        </w:rPr>
        <w:t>reveals</w:t>
      </w:r>
      <w:r>
        <w:rPr>
          <w:i/>
          <w:color w:val="231F20"/>
          <w:spacing w:val="-4"/>
          <w:sz w:val="24"/>
        </w:rPr>
        <w:t> </w:t>
      </w:r>
      <w:r>
        <w:rPr>
          <w:i/>
          <w:color w:val="231F20"/>
          <w:sz w:val="24"/>
        </w:rPr>
        <w:t>that</w:t>
      </w:r>
      <w:r>
        <w:rPr>
          <w:i/>
          <w:color w:val="231F20"/>
          <w:spacing w:val="-4"/>
          <w:sz w:val="24"/>
        </w:rPr>
        <w:t> </w:t>
      </w:r>
      <w:r>
        <w:rPr>
          <w:i/>
          <w:color w:val="231F20"/>
          <w:sz w:val="24"/>
        </w:rPr>
        <w:t>the</w:t>
      </w:r>
      <w:r>
        <w:rPr>
          <w:i/>
          <w:color w:val="231F20"/>
          <w:spacing w:val="-3"/>
          <w:sz w:val="24"/>
        </w:rPr>
        <w:t> </w:t>
      </w:r>
      <w:r>
        <w:rPr>
          <w:i/>
          <w:color w:val="231F20"/>
          <w:sz w:val="24"/>
        </w:rPr>
        <w:t>threat</w:t>
      </w:r>
      <w:r>
        <w:rPr>
          <w:i/>
          <w:color w:val="231F20"/>
          <w:spacing w:val="-4"/>
          <w:sz w:val="24"/>
        </w:rPr>
        <w:t> </w:t>
      </w:r>
      <w:r>
        <w:rPr>
          <w:i/>
          <w:color w:val="231F20"/>
          <w:sz w:val="24"/>
        </w:rPr>
        <w:t>was</w:t>
      </w:r>
      <w:r>
        <w:rPr>
          <w:i/>
          <w:color w:val="231F20"/>
          <w:spacing w:val="-4"/>
          <w:sz w:val="24"/>
        </w:rPr>
        <w:t> </w:t>
      </w:r>
      <w:r>
        <w:rPr>
          <w:i/>
          <w:color w:val="231F20"/>
          <w:sz w:val="24"/>
        </w:rPr>
        <w:t>a</w:t>
      </w:r>
      <w:r>
        <w:rPr>
          <w:i/>
          <w:color w:val="231F20"/>
          <w:spacing w:val="-4"/>
          <w:sz w:val="24"/>
        </w:rPr>
        <w:t> </w:t>
      </w:r>
      <w:r>
        <w:rPr>
          <w:i/>
          <w:color w:val="231F20"/>
          <w:sz w:val="24"/>
        </w:rPr>
        <w:t>crank</w:t>
      </w:r>
      <w:r>
        <w:rPr>
          <w:i/>
          <w:color w:val="231F20"/>
          <w:spacing w:val="-3"/>
          <w:sz w:val="24"/>
        </w:rPr>
        <w:t> </w:t>
      </w:r>
      <w:r>
        <w:rPr>
          <w:i/>
          <w:color w:val="231F20"/>
          <w:sz w:val="24"/>
        </w:rPr>
        <w:t>call, but the search takes two hours to complete. When they return to the meeting, the board members realize that they do not have time to discuss the last item on the agenda. They vote</w:t>
      </w:r>
      <w:r>
        <w:rPr>
          <w:i/>
          <w:color w:val="231F20"/>
          <w:spacing w:val="-1"/>
          <w:sz w:val="24"/>
        </w:rPr>
        <w:t> </w:t>
      </w:r>
      <w:r>
        <w:rPr>
          <w:i/>
          <w:color w:val="231F20"/>
          <w:sz w:val="24"/>
        </w:rPr>
        <w:t>to reconvene the meeting two days later and comply with the requisite notice requirements. The next day, the board’s administrator</w:t>
      </w:r>
      <w:r>
        <w:rPr>
          <w:i/>
          <w:color w:val="231F20"/>
          <w:spacing w:val="40"/>
          <w:sz w:val="24"/>
        </w:rPr>
        <w:t> </w:t>
      </w:r>
      <w:r>
        <w:rPr>
          <w:i/>
          <w:color w:val="231F20"/>
          <w:sz w:val="24"/>
        </w:rPr>
        <w:t>contacts</w:t>
      </w:r>
      <w:r>
        <w:rPr>
          <w:i/>
          <w:color w:val="231F20"/>
          <w:spacing w:val="-3"/>
          <w:sz w:val="24"/>
        </w:rPr>
        <w:t> </w:t>
      </w:r>
      <w:r>
        <w:rPr>
          <w:i/>
          <w:color w:val="231F20"/>
          <w:sz w:val="24"/>
        </w:rPr>
        <w:t>the</w:t>
      </w:r>
      <w:r>
        <w:rPr>
          <w:i/>
          <w:color w:val="231F20"/>
          <w:spacing w:val="-4"/>
          <w:sz w:val="24"/>
        </w:rPr>
        <w:t> </w:t>
      </w:r>
      <w:r>
        <w:rPr>
          <w:i/>
          <w:color w:val="231F20"/>
          <w:sz w:val="24"/>
        </w:rPr>
        <w:t>chair</w:t>
      </w:r>
      <w:r>
        <w:rPr>
          <w:i/>
          <w:color w:val="231F20"/>
          <w:spacing w:val="-3"/>
          <w:sz w:val="24"/>
        </w:rPr>
        <w:t> </w:t>
      </w:r>
      <w:r>
        <w:rPr>
          <w:i/>
          <w:color w:val="231F20"/>
          <w:sz w:val="24"/>
        </w:rPr>
        <w:t>to</w:t>
      </w:r>
      <w:r>
        <w:rPr>
          <w:i/>
          <w:color w:val="231F20"/>
          <w:spacing w:val="-3"/>
          <w:sz w:val="24"/>
        </w:rPr>
        <w:t> </w:t>
      </w:r>
      <w:r>
        <w:rPr>
          <w:i/>
          <w:color w:val="231F20"/>
          <w:sz w:val="24"/>
        </w:rPr>
        <w:t>request</w:t>
      </w:r>
      <w:r>
        <w:rPr>
          <w:i/>
          <w:color w:val="231F20"/>
          <w:spacing w:val="-3"/>
          <w:sz w:val="24"/>
        </w:rPr>
        <w:t> </w:t>
      </w:r>
      <w:r>
        <w:rPr>
          <w:i/>
          <w:color w:val="231F20"/>
          <w:sz w:val="24"/>
        </w:rPr>
        <w:t>a</w:t>
      </w:r>
      <w:r>
        <w:rPr>
          <w:i/>
          <w:color w:val="231F20"/>
          <w:spacing w:val="-3"/>
          <w:sz w:val="24"/>
        </w:rPr>
        <w:t> </w:t>
      </w:r>
      <w:r>
        <w:rPr>
          <w:i/>
          <w:color w:val="231F20"/>
          <w:sz w:val="24"/>
        </w:rPr>
        <w:t>meeting</w:t>
      </w:r>
      <w:r>
        <w:rPr>
          <w:i/>
          <w:color w:val="231F20"/>
          <w:spacing w:val="-3"/>
          <w:sz w:val="24"/>
        </w:rPr>
        <w:t> </w:t>
      </w:r>
      <w:r>
        <w:rPr>
          <w:i/>
          <w:color w:val="231F20"/>
          <w:sz w:val="24"/>
        </w:rPr>
        <w:t>to</w:t>
      </w:r>
      <w:r>
        <w:rPr>
          <w:i/>
          <w:color w:val="231F20"/>
          <w:spacing w:val="-3"/>
          <w:sz w:val="24"/>
        </w:rPr>
        <w:t> </w:t>
      </w:r>
      <w:r>
        <w:rPr>
          <w:i/>
          <w:color w:val="231F20"/>
          <w:sz w:val="24"/>
        </w:rPr>
        <w:t>decide on the purchase of office equipment. Although the board plans to reconvene the following day, it cannot discuss the purchase because it was</w:t>
      </w:r>
      <w:r>
        <w:rPr>
          <w:i/>
          <w:color w:val="231F20"/>
          <w:spacing w:val="40"/>
          <w:sz w:val="24"/>
        </w:rPr>
        <w:t> </w:t>
      </w:r>
      <w:r>
        <w:rPr>
          <w:i/>
          <w:color w:val="231F20"/>
          <w:sz w:val="24"/>
        </w:rPr>
        <w:t>not on the original meeting’s agenda and is not an emergency. Instead, the chair must call a separate</w:t>
      </w:r>
      <w:r>
        <w:rPr>
          <w:i/>
          <w:color w:val="231F20"/>
          <w:spacing w:val="-7"/>
          <w:sz w:val="24"/>
        </w:rPr>
        <w:t> </w:t>
      </w:r>
      <w:r>
        <w:rPr>
          <w:i/>
          <w:color w:val="231F20"/>
          <w:sz w:val="24"/>
        </w:rPr>
        <w:t>special</w:t>
      </w:r>
      <w:r>
        <w:rPr>
          <w:i/>
          <w:color w:val="231F20"/>
          <w:spacing w:val="-6"/>
          <w:sz w:val="24"/>
        </w:rPr>
        <w:t> </w:t>
      </w:r>
      <w:r>
        <w:rPr>
          <w:i/>
          <w:color w:val="231F20"/>
          <w:sz w:val="24"/>
        </w:rPr>
        <w:t>meeting</w:t>
      </w:r>
      <w:r>
        <w:rPr>
          <w:i/>
          <w:color w:val="231F20"/>
          <w:spacing w:val="-6"/>
          <w:sz w:val="24"/>
        </w:rPr>
        <w:t> </w:t>
      </w:r>
      <w:r>
        <w:rPr>
          <w:i/>
          <w:color w:val="231F20"/>
          <w:sz w:val="24"/>
        </w:rPr>
        <w:t>to</w:t>
      </w:r>
      <w:r>
        <w:rPr>
          <w:i/>
          <w:color w:val="231F20"/>
          <w:spacing w:val="-6"/>
          <w:sz w:val="24"/>
        </w:rPr>
        <w:t> </w:t>
      </w:r>
      <w:r>
        <w:rPr>
          <w:i/>
          <w:color w:val="231F20"/>
          <w:sz w:val="24"/>
        </w:rPr>
        <w:t>discuss</w:t>
      </w:r>
      <w:r>
        <w:rPr>
          <w:i/>
          <w:color w:val="231F20"/>
          <w:spacing w:val="-6"/>
          <w:sz w:val="24"/>
        </w:rPr>
        <w:t> </w:t>
      </w:r>
      <w:r>
        <w:rPr>
          <w:i/>
          <w:color w:val="231F20"/>
          <w:sz w:val="24"/>
        </w:rPr>
        <w:t>the</w:t>
      </w:r>
      <w:r>
        <w:rPr>
          <w:i/>
          <w:color w:val="231F20"/>
          <w:spacing w:val="-7"/>
          <w:sz w:val="24"/>
        </w:rPr>
        <w:t> </w:t>
      </w:r>
      <w:r>
        <w:rPr>
          <w:i/>
          <w:color w:val="231F20"/>
          <w:sz w:val="24"/>
        </w:rPr>
        <w:t>purchase or wait to discuss the purchase at the next regular meeting.</w:t>
      </w:r>
    </w:p>
    <w:p>
      <w:pPr>
        <w:pStyle w:val="BodyText"/>
        <w:spacing w:before="4"/>
        <w:rPr>
          <w:i/>
        </w:rPr>
      </w:pPr>
    </w:p>
    <w:p>
      <w:pPr>
        <w:pStyle w:val="Heading2"/>
        <w:numPr>
          <w:ilvl w:val="0"/>
          <w:numId w:val="6"/>
        </w:numPr>
        <w:tabs>
          <w:tab w:pos="785" w:val="left" w:leader="none"/>
        </w:tabs>
        <w:spacing w:line="240" w:lineRule="auto" w:before="0" w:after="0"/>
        <w:ind w:left="784" w:right="0" w:hanging="310"/>
        <w:jc w:val="left"/>
      </w:pPr>
      <w:bookmarkStart w:name="_TOC_250014" w:id="78"/>
      <w:bookmarkStart w:name="F. Agenda" w:id="79"/>
      <w:r>
        <w:rPr>
          <w:color w:val="231F20"/>
          <w:spacing w:val="-2"/>
        </w:rPr>
        <w:t>A</w:t>
      </w:r>
      <w:bookmarkEnd w:id="78"/>
      <w:r>
        <w:rPr>
          <w:color w:val="231F20"/>
          <w:spacing w:val="-2"/>
        </w:rPr>
        <w:t>genda</w:t>
      </w:r>
    </w:p>
    <w:p>
      <w:pPr>
        <w:pStyle w:val="BodyText"/>
        <w:spacing w:before="1"/>
        <w:rPr>
          <w:b/>
        </w:rPr>
      </w:pPr>
    </w:p>
    <w:p>
      <w:pPr>
        <w:spacing w:before="0"/>
        <w:ind w:left="475" w:right="0" w:firstLine="0"/>
        <w:jc w:val="both"/>
        <w:rPr>
          <w:b/>
          <w:sz w:val="24"/>
        </w:rPr>
      </w:pPr>
      <w:bookmarkStart w:name="The Law" w:id="80"/>
      <w:bookmarkEnd w:id="80"/>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spacing w:before="94"/>
        <w:ind w:left="475" w:right="598" w:firstLine="0"/>
        <w:jc w:val="both"/>
        <w:rPr>
          <w:b/>
          <w:sz w:val="24"/>
        </w:rPr>
      </w:pPr>
      <w:r>
        <w:rPr/>
        <w:br w:type="column"/>
      </w:r>
      <w:r>
        <w:rPr>
          <w:b/>
          <w:color w:val="231F20"/>
          <w:sz w:val="24"/>
        </w:rPr>
        <w:t>Meeting notices shall include an agenda containing a list of specific items of business to</w:t>
      </w:r>
      <w:r>
        <w:rPr>
          <w:b/>
          <w:color w:val="231F20"/>
          <w:sz w:val="24"/>
        </w:rPr>
        <w:t> be discussed or transacted at the meeting or information on how the public may obtain a copy of such an agenda. Except in the case of an emergency or in the case of a public body that ordinarily meets more frequently than once per week, at least</w:t>
      </w:r>
      <w:r>
        <w:rPr>
          <w:b/>
          <w:color w:val="231F20"/>
          <w:sz w:val="24"/>
        </w:rPr>
        <w:t> seventy-two hours (72) hours prior to the meeting, the agenda shall be available to the public and posted on the public body’s web site, if one is maintained. A public body that</w:t>
      </w:r>
      <w:r>
        <w:rPr>
          <w:b/>
          <w:color w:val="231F20"/>
          <w:sz w:val="24"/>
        </w:rPr>
        <w:t> ordinarily meets more frequently</w:t>
      </w:r>
      <w:r>
        <w:rPr>
          <w:b/>
          <w:color w:val="231F20"/>
          <w:sz w:val="24"/>
        </w:rPr>
        <w:t> than once per week shall</w:t>
      </w:r>
      <w:r>
        <w:rPr>
          <w:b/>
          <w:color w:val="231F20"/>
          <w:spacing w:val="9"/>
          <w:sz w:val="24"/>
        </w:rPr>
        <w:t> </w:t>
      </w:r>
      <w:r>
        <w:rPr>
          <w:b/>
          <w:color w:val="231F20"/>
          <w:sz w:val="24"/>
        </w:rPr>
        <w:t>post</w:t>
      </w:r>
      <w:r>
        <w:rPr>
          <w:b/>
          <w:color w:val="231F20"/>
          <w:spacing w:val="9"/>
          <w:sz w:val="24"/>
        </w:rPr>
        <w:t> </w:t>
      </w:r>
      <w:r>
        <w:rPr>
          <w:b/>
          <w:color w:val="231F20"/>
          <w:sz w:val="24"/>
        </w:rPr>
        <w:t>a</w:t>
      </w:r>
      <w:r>
        <w:rPr>
          <w:b/>
          <w:color w:val="231F20"/>
          <w:spacing w:val="7"/>
          <w:sz w:val="24"/>
        </w:rPr>
        <w:t> </w:t>
      </w:r>
      <w:r>
        <w:rPr>
          <w:b/>
          <w:color w:val="231F20"/>
          <w:sz w:val="24"/>
        </w:rPr>
        <w:t>draft</w:t>
      </w:r>
      <w:r>
        <w:rPr>
          <w:b/>
          <w:color w:val="231F20"/>
          <w:spacing w:val="9"/>
          <w:sz w:val="24"/>
        </w:rPr>
        <w:t> </w:t>
      </w:r>
      <w:r>
        <w:rPr>
          <w:b/>
          <w:color w:val="231F20"/>
          <w:sz w:val="24"/>
        </w:rPr>
        <w:t>agenda</w:t>
      </w:r>
      <w:r>
        <w:rPr>
          <w:b/>
          <w:color w:val="231F20"/>
          <w:spacing w:val="10"/>
          <w:sz w:val="24"/>
        </w:rPr>
        <w:t> </w:t>
      </w:r>
      <w:r>
        <w:rPr>
          <w:b/>
          <w:color w:val="231F20"/>
          <w:sz w:val="24"/>
        </w:rPr>
        <w:t>at</w:t>
      </w:r>
      <w:r>
        <w:rPr>
          <w:b/>
          <w:color w:val="231F20"/>
          <w:spacing w:val="10"/>
          <w:sz w:val="24"/>
        </w:rPr>
        <w:t> </w:t>
      </w:r>
      <w:r>
        <w:rPr>
          <w:b/>
          <w:color w:val="231F20"/>
          <w:sz w:val="24"/>
        </w:rPr>
        <w:t>least</w:t>
      </w:r>
      <w:r>
        <w:rPr>
          <w:b/>
          <w:color w:val="231F20"/>
          <w:spacing w:val="8"/>
          <w:sz w:val="24"/>
        </w:rPr>
        <w:t> </w:t>
      </w:r>
      <w:r>
        <w:rPr>
          <w:b/>
          <w:color w:val="231F20"/>
          <w:sz w:val="24"/>
        </w:rPr>
        <w:t>seventy-</w:t>
      </w:r>
      <w:r>
        <w:rPr>
          <w:b/>
          <w:color w:val="231F20"/>
          <w:spacing w:val="-5"/>
          <w:sz w:val="24"/>
        </w:rPr>
        <w:t>two</w:t>
      </w:r>
    </w:p>
    <w:p>
      <w:pPr>
        <w:spacing w:before="1"/>
        <w:ind w:left="475" w:right="598" w:firstLine="0"/>
        <w:jc w:val="both"/>
        <w:rPr>
          <w:b/>
          <w:sz w:val="24"/>
        </w:rPr>
      </w:pPr>
      <w:r>
        <w:rPr>
          <w:b/>
          <w:color w:val="231F20"/>
          <w:sz w:val="24"/>
        </w:rPr>
        <w:t>(72)</w:t>
      </w:r>
      <w:r>
        <w:rPr>
          <w:b/>
          <w:color w:val="231F20"/>
          <w:sz w:val="24"/>
        </w:rPr>
        <w:t> hours prior to the meeting and a final agenda at least thirty-six (36) hours prior to the meeting. Except for emergency matters, a public body shall take action only on items appearing on the agenda. For purposes of</w:t>
      </w:r>
      <w:r>
        <w:rPr>
          <w:b/>
          <w:color w:val="231F20"/>
          <w:spacing w:val="40"/>
          <w:sz w:val="24"/>
        </w:rPr>
        <w:t> </w:t>
      </w:r>
      <w:r>
        <w:rPr>
          <w:b/>
          <w:color w:val="231F20"/>
          <w:sz w:val="24"/>
        </w:rPr>
        <w:t>this Subsection, an “emergency” refers to unforeseen circumstances that, if not addressed immediately by the public body, will likely result</w:t>
      </w:r>
      <w:r>
        <w:rPr>
          <w:b/>
          <w:color w:val="231F20"/>
          <w:sz w:val="24"/>
        </w:rPr>
        <w:t> in injury or damage to persons or property or substantial financial loss to the public body. Within ten days of taking action on an emergency matter, the public body shall report to the attorney general’s office the action taken and the circumstances creating the emergency; provided that the requirement</w:t>
      </w:r>
      <w:r>
        <w:rPr>
          <w:b/>
          <w:color w:val="231F20"/>
          <w:sz w:val="24"/>
        </w:rPr>
        <w:t> to</w:t>
      </w:r>
      <w:r>
        <w:rPr>
          <w:b/>
          <w:color w:val="231F20"/>
          <w:sz w:val="24"/>
        </w:rPr>
        <w:t> report</w:t>
      </w:r>
      <w:r>
        <w:rPr>
          <w:b/>
          <w:color w:val="231F20"/>
          <w:sz w:val="24"/>
        </w:rPr>
        <w:t> to the attorney general is waived upon the declaration of a state or national emergency.</w:t>
      </w:r>
    </w:p>
    <w:p>
      <w:pPr>
        <w:pStyle w:val="BodyText"/>
        <w:spacing w:before="6"/>
        <w:rPr>
          <w:b/>
          <w:sz w:val="27"/>
        </w:rPr>
      </w:pPr>
    </w:p>
    <w:p>
      <w:pPr>
        <w:pStyle w:val="ListParagraph"/>
        <w:numPr>
          <w:ilvl w:val="0"/>
          <w:numId w:val="10"/>
        </w:numPr>
        <w:tabs>
          <w:tab w:pos="716" w:val="left" w:leader="none"/>
        </w:tabs>
        <w:spacing w:line="240" w:lineRule="auto" w:before="0" w:after="0"/>
        <w:ind w:left="715" w:right="0" w:hanging="241"/>
        <w:jc w:val="both"/>
        <w:rPr>
          <w:sz w:val="24"/>
        </w:rPr>
      </w:pPr>
      <w:bookmarkStart w:name="1. Seventy-Two Hour Requirement" w:id="81"/>
      <w:bookmarkEnd w:id="81"/>
      <w:r>
        <w:rPr>
          <w:color w:val="231F20"/>
          <w:sz w:val="24"/>
          <w:u w:val="single" w:color="231F20"/>
        </w:rPr>
        <w:t>S</w:t>
      </w:r>
      <w:r>
        <w:rPr>
          <w:color w:val="231F20"/>
          <w:sz w:val="24"/>
          <w:u w:val="single" w:color="231F20"/>
        </w:rPr>
        <w:t>eventy-Two</w:t>
      </w:r>
      <w:r>
        <w:rPr>
          <w:color w:val="231F20"/>
          <w:spacing w:val="-6"/>
          <w:sz w:val="24"/>
          <w:u w:val="single" w:color="231F20"/>
        </w:rPr>
        <w:t> </w:t>
      </w:r>
      <w:r>
        <w:rPr>
          <w:color w:val="231F20"/>
          <w:sz w:val="24"/>
          <w:u w:val="single" w:color="231F20"/>
        </w:rPr>
        <w:t>Hour</w:t>
      </w:r>
      <w:r>
        <w:rPr>
          <w:color w:val="231F20"/>
          <w:spacing w:val="-7"/>
          <w:sz w:val="24"/>
          <w:u w:val="single" w:color="231F20"/>
        </w:rPr>
        <w:t> </w:t>
      </w:r>
      <w:r>
        <w:rPr>
          <w:color w:val="231F20"/>
          <w:spacing w:val="-2"/>
          <w:sz w:val="24"/>
          <w:u w:val="single" w:color="231F20"/>
        </w:rPr>
        <w:t>Requirement</w:t>
      </w:r>
    </w:p>
    <w:p>
      <w:pPr>
        <w:pStyle w:val="BodyText"/>
      </w:pPr>
    </w:p>
    <w:p>
      <w:pPr>
        <w:pStyle w:val="BodyText"/>
        <w:ind w:left="475" w:right="598"/>
        <w:jc w:val="both"/>
      </w:pPr>
      <w:r>
        <w:rPr>
          <w:color w:val="231F20"/>
        </w:rPr>
        <w:t>Public bodies must include an agenda in their meeting notices or information on where a copy of the agenda may be obtained. With two exceptions,</w:t>
      </w:r>
      <w:r>
        <w:rPr>
          <w:color w:val="231F20"/>
          <w:spacing w:val="-1"/>
        </w:rPr>
        <w:t> </w:t>
      </w:r>
      <w:r>
        <w:rPr>
          <w:color w:val="231F20"/>
        </w:rPr>
        <w:t>a</w:t>
      </w:r>
      <w:r>
        <w:rPr>
          <w:color w:val="231F20"/>
          <w:spacing w:val="-2"/>
        </w:rPr>
        <w:t> </w:t>
      </w:r>
      <w:r>
        <w:rPr>
          <w:color w:val="231F20"/>
        </w:rPr>
        <w:t>public</w:t>
      </w:r>
      <w:r>
        <w:rPr>
          <w:color w:val="231F20"/>
          <w:spacing w:val="-2"/>
        </w:rPr>
        <w:t> </w:t>
      </w:r>
      <w:r>
        <w:rPr>
          <w:color w:val="231F20"/>
        </w:rPr>
        <w:t>body</w:t>
      </w:r>
      <w:r>
        <w:rPr>
          <w:color w:val="231F20"/>
          <w:spacing w:val="-4"/>
        </w:rPr>
        <w:t> </w:t>
      </w:r>
      <w:r>
        <w:rPr>
          <w:color w:val="231F20"/>
        </w:rPr>
        <w:t>must make</w:t>
      </w:r>
      <w:r>
        <w:rPr>
          <w:color w:val="231F20"/>
          <w:spacing w:val="-2"/>
        </w:rPr>
        <w:t> </w:t>
      </w:r>
      <w:r>
        <w:rPr>
          <w:color w:val="231F20"/>
        </w:rPr>
        <w:t>the</w:t>
      </w:r>
      <w:r>
        <w:rPr>
          <w:color w:val="231F20"/>
          <w:spacing w:val="-2"/>
        </w:rPr>
        <w:t> </w:t>
      </w:r>
      <w:r>
        <w:rPr>
          <w:color w:val="231F20"/>
        </w:rPr>
        <w:t>agenda available to the public at least 72 hours before a meeting. The 72-hour requirement applies regardless of whether it includes a Saturday, Sunday or holiday. For example, a public body holding</w:t>
      </w:r>
      <w:r>
        <w:rPr>
          <w:color w:val="231F20"/>
        </w:rPr>
        <w:t> a</w:t>
      </w:r>
      <w:r>
        <w:rPr>
          <w:color w:val="231F20"/>
        </w:rPr>
        <w:t> meeting</w:t>
      </w:r>
      <w:r>
        <w:rPr>
          <w:color w:val="231F20"/>
        </w:rPr>
        <w:t> on</w:t>
      </w:r>
      <w:r>
        <w:rPr>
          <w:color w:val="231F20"/>
        </w:rPr>
        <w:t> a</w:t>
      </w:r>
      <w:r>
        <w:rPr>
          <w:color w:val="231F20"/>
        </w:rPr>
        <w:t> Monday at 9:00 a.m. would meet the 72-hour requirement if it made the agenda available on Friday by 9:00 a.m.</w:t>
      </w:r>
    </w:p>
    <w:p>
      <w:pPr>
        <w:pStyle w:val="BodyText"/>
        <w:spacing w:before="1"/>
      </w:pPr>
    </w:p>
    <w:p>
      <w:pPr>
        <w:pStyle w:val="BodyText"/>
        <w:ind w:left="475" w:right="603"/>
        <w:jc w:val="both"/>
      </w:pPr>
      <w:r>
        <w:rPr>
          <w:color w:val="231F20"/>
        </w:rPr>
        <w:t>The exceptions to the 72-hour requirement</w:t>
      </w:r>
      <w:r>
        <w:rPr>
          <w:color w:val="231F20"/>
          <w:spacing w:val="40"/>
        </w:rPr>
        <w:t> </w:t>
      </w:r>
      <w:r>
        <w:rPr>
          <w:color w:val="231F20"/>
        </w:rPr>
        <w:t>apply</w:t>
      </w:r>
      <w:r>
        <w:rPr>
          <w:color w:val="231F20"/>
          <w:spacing w:val="73"/>
          <w:w w:val="150"/>
        </w:rPr>
        <w:t> </w:t>
      </w:r>
      <w:r>
        <w:rPr>
          <w:color w:val="231F20"/>
        </w:rPr>
        <w:t>to:</w:t>
      </w:r>
      <w:r>
        <w:rPr>
          <w:color w:val="231F20"/>
          <w:spacing w:val="26"/>
        </w:rPr>
        <w:t>  </w:t>
      </w:r>
      <w:r>
        <w:rPr>
          <w:color w:val="231F20"/>
        </w:rPr>
        <w:t>(1)</w:t>
      </w:r>
      <w:r>
        <w:rPr>
          <w:color w:val="231F20"/>
          <w:spacing w:val="25"/>
        </w:rPr>
        <w:t>  </w:t>
      </w:r>
      <w:r>
        <w:rPr>
          <w:color w:val="231F20"/>
        </w:rPr>
        <w:t>meetings</w:t>
      </w:r>
      <w:r>
        <w:rPr>
          <w:color w:val="231F20"/>
          <w:spacing w:val="26"/>
        </w:rPr>
        <w:t>  </w:t>
      </w:r>
      <w:r>
        <w:rPr>
          <w:color w:val="231F20"/>
        </w:rPr>
        <w:t>held</w:t>
      </w:r>
      <w:r>
        <w:rPr>
          <w:color w:val="231F20"/>
          <w:spacing w:val="25"/>
        </w:rPr>
        <w:t>  </w:t>
      </w:r>
      <w:r>
        <w:rPr>
          <w:color w:val="231F20"/>
        </w:rPr>
        <w:t>to</w:t>
      </w:r>
      <w:r>
        <w:rPr>
          <w:color w:val="231F20"/>
          <w:spacing w:val="25"/>
        </w:rPr>
        <w:t>  </w:t>
      </w:r>
      <w:r>
        <w:rPr>
          <w:color w:val="231F20"/>
        </w:rPr>
        <w:t>address</w:t>
      </w:r>
      <w:r>
        <w:rPr>
          <w:color w:val="231F20"/>
          <w:spacing w:val="25"/>
        </w:rPr>
        <w:t>  </w:t>
      </w:r>
      <w:r>
        <w:rPr>
          <w:color w:val="231F20"/>
          <w:spacing w:val="-5"/>
        </w:rPr>
        <w:t>an</w:t>
      </w:r>
    </w:p>
    <w:p>
      <w:pPr>
        <w:spacing w:after="0"/>
        <w:jc w:val="both"/>
        <w:sectPr>
          <w:type w:val="continuous"/>
          <w:pgSz w:w="12240" w:h="15840"/>
          <w:pgMar w:header="660" w:footer="484" w:top="480" w:bottom="280" w:left="360" w:right="240"/>
          <w:cols w:num="2" w:equalWidth="0">
            <w:col w:w="5199" w:space="683"/>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8"/>
        <w:jc w:val="both"/>
      </w:pPr>
      <w:r>
        <w:rPr>
          <w:color w:val="231F20"/>
        </w:rPr>
        <w:t>emergency, which are discussed in more detail below, and (2) public bodies that ordinarily</w:t>
      </w:r>
      <w:r>
        <w:rPr>
          <w:color w:val="231F20"/>
          <w:spacing w:val="40"/>
        </w:rPr>
        <w:t> </w:t>
      </w:r>
      <w:r>
        <w:rPr>
          <w:color w:val="231F20"/>
        </w:rPr>
        <w:t>meet more than once a week. Those public bodies</w:t>
      </w:r>
      <w:r>
        <w:rPr>
          <w:color w:val="231F20"/>
          <w:spacing w:val="-2"/>
        </w:rPr>
        <w:t> </w:t>
      </w:r>
      <w:r>
        <w:rPr>
          <w:color w:val="231F20"/>
        </w:rPr>
        <w:t>must</w:t>
      </w:r>
      <w:r>
        <w:rPr>
          <w:color w:val="231F20"/>
          <w:spacing w:val="-2"/>
        </w:rPr>
        <w:t> </w:t>
      </w:r>
      <w:r>
        <w:rPr>
          <w:color w:val="231F20"/>
        </w:rPr>
        <w:t>post</w:t>
      </w:r>
      <w:r>
        <w:rPr>
          <w:color w:val="231F20"/>
          <w:spacing w:val="-2"/>
        </w:rPr>
        <w:t> </w:t>
      </w:r>
      <w:r>
        <w:rPr>
          <w:color w:val="231F20"/>
        </w:rPr>
        <w:t>a</w:t>
      </w:r>
      <w:r>
        <w:rPr>
          <w:color w:val="231F20"/>
          <w:spacing w:val="-3"/>
        </w:rPr>
        <w:t> </w:t>
      </w:r>
      <w:r>
        <w:rPr>
          <w:color w:val="231F20"/>
        </w:rPr>
        <w:t>draft</w:t>
      </w:r>
      <w:r>
        <w:rPr>
          <w:color w:val="231F20"/>
          <w:spacing w:val="-2"/>
        </w:rPr>
        <w:t> </w:t>
      </w:r>
      <w:r>
        <w:rPr>
          <w:color w:val="231F20"/>
        </w:rPr>
        <w:t>agenda</w:t>
      </w:r>
      <w:r>
        <w:rPr>
          <w:color w:val="231F20"/>
          <w:spacing w:val="-1"/>
        </w:rPr>
        <w:t> </w:t>
      </w:r>
      <w:r>
        <w:rPr>
          <w:color w:val="231F20"/>
        </w:rPr>
        <w:t>at</w:t>
      </w:r>
      <w:r>
        <w:rPr>
          <w:color w:val="231F20"/>
          <w:spacing w:val="-2"/>
        </w:rPr>
        <w:t> </w:t>
      </w:r>
      <w:r>
        <w:rPr>
          <w:color w:val="231F20"/>
        </w:rPr>
        <w:t>least</w:t>
      </w:r>
      <w:r>
        <w:rPr>
          <w:color w:val="231F20"/>
          <w:spacing w:val="-2"/>
        </w:rPr>
        <w:t> </w:t>
      </w:r>
      <w:r>
        <w:rPr>
          <w:color w:val="231F20"/>
        </w:rPr>
        <w:t>72</w:t>
      </w:r>
      <w:r>
        <w:rPr>
          <w:color w:val="231F20"/>
          <w:spacing w:val="-2"/>
        </w:rPr>
        <w:t> </w:t>
      </w:r>
      <w:r>
        <w:rPr>
          <w:color w:val="231F20"/>
        </w:rPr>
        <w:t>hours before a meeting and a final agenda at least 36 hours before the meeting.</w:t>
      </w:r>
    </w:p>
    <w:p>
      <w:pPr>
        <w:pStyle w:val="BodyText"/>
      </w:pPr>
    </w:p>
    <w:p>
      <w:pPr>
        <w:pStyle w:val="ListParagraph"/>
        <w:numPr>
          <w:ilvl w:val="0"/>
          <w:numId w:val="10"/>
        </w:numPr>
        <w:tabs>
          <w:tab w:pos="716" w:val="left" w:leader="none"/>
        </w:tabs>
        <w:spacing w:line="240" w:lineRule="auto" w:before="0" w:after="0"/>
        <w:ind w:left="715" w:right="0" w:hanging="241"/>
        <w:jc w:val="left"/>
        <w:rPr>
          <w:sz w:val="24"/>
        </w:rPr>
      </w:pPr>
      <w:bookmarkStart w:name="2. Action on Agenda Items" w:id="82"/>
      <w:bookmarkEnd w:id="82"/>
      <w:r>
        <w:rPr>
          <w:color w:val="231F20"/>
          <w:sz w:val="24"/>
          <w:u w:val="single" w:color="231F20"/>
        </w:rPr>
        <w:t>A</w:t>
      </w:r>
      <w:r>
        <w:rPr>
          <w:color w:val="231F20"/>
          <w:sz w:val="24"/>
          <w:u w:val="single" w:color="231F20"/>
        </w:rPr>
        <w:t>ction</w:t>
      </w:r>
      <w:r>
        <w:rPr>
          <w:color w:val="231F20"/>
          <w:spacing w:val="-3"/>
          <w:sz w:val="24"/>
          <w:u w:val="single" w:color="231F20"/>
        </w:rPr>
        <w:t> </w:t>
      </w:r>
      <w:r>
        <w:rPr>
          <w:color w:val="231F20"/>
          <w:sz w:val="24"/>
          <w:u w:val="single" w:color="231F20"/>
        </w:rPr>
        <w:t>on</w:t>
      </w:r>
      <w:r>
        <w:rPr>
          <w:color w:val="231F20"/>
          <w:spacing w:val="-2"/>
          <w:sz w:val="24"/>
          <w:u w:val="single" w:color="231F20"/>
        </w:rPr>
        <w:t> </w:t>
      </w:r>
      <w:r>
        <w:rPr>
          <w:color w:val="231F20"/>
          <w:sz w:val="24"/>
          <w:u w:val="single" w:color="231F20"/>
        </w:rPr>
        <w:t>Agenda </w:t>
      </w:r>
      <w:r>
        <w:rPr>
          <w:color w:val="231F20"/>
          <w:spacing w:val="-4"/>
          <w:sz w:val="24"/>
          <w:u w:val="single" w:color="231F20"/>
        </w:rPr>
        <w:t>Items</w:t>
      </w:r>
    </w:p>
    <w:p>
      <w:pPr>
        <w:pStyle w:val="BodyText"/>
      </w:pPr>
    </w:p>
    <w:p>
      <w:pPr>
        <w:pStyle w:val="BodyText"/>
        <w:ind w:left="475" w:right="42"/>
        <w:jc w:val="both"/>
      </w:pPr>
      <w:r>
        <w:rPr>
          <w:color w:val="231F20"/>
        </w:rPr>
        <w:t>A public body may discuss a matter, but cannot take action, unless the matter is listed as a specific item of business on the agenda. Action on items that are not listed on the agenda for a meeting</w:t>
      </w:r>
      <w:r>
        <w:rPr>
          <w:color w:val="231F20"/>
          <w:spacing w:val="-8"/>
        </w:rPr>
        <w:t> </w:t>
      </w:r>
      <w:r>
        <w:rPr>
          <w:color w:val="231F20"/>
        </w:rPr>
        <w:t>must</w:t>
      </w:r>
      <w:r>
        <w:rPr>
          <w:color w:val="231F20"/>
          <w:spacing w:val="-5"/>
        </w:rPr>
        <w:t> </w:t>
      </w:r>
      <w:r>
        <w:rPr>
          <w:color w:val="231F20"/>
        </w:rPr>
        <w:t>be</w:t>
      </w:r>
      <w:r>
        <w:rPr>
          <w:color w:val="231F20"/>
          <w:spacing w:val="-6"/>
        </w:rPr>
        <w:t> </w:t>
      </w:r>
      <w:r>
        <w:rPr>
          <w:color w:val="231F20"/>
        </w:rPr>
        <w:t>taken</w:t>
      </w:r>
      <w:r>
        <w:rPr>
          <w:color w:val="231F20"/>
          <w:spacing w:val="-5"/>
        </w:rPr>
        <w:t> </w:t>
      </w:r>
      <w:r>
        <w:rPr>
          <w:color w:val="231F20"/>
        </w:rPr>
        <w:t>at</w:t>
      </w:r>
      <w:r>
        <w:rPr>
          <w:color w:val="231F20"/>
          <w:spacing w:val="-3"/>
        </w:rPr>
        <w:t> </w:t>
      </w:r>
      <w:r>
        <w:rPr>
          <w:color w:val="231F20"/>
        </w:rPr>
        <w:t>a</w:t>
      </w:r>
      <w:r>
        <w:rPr>
          <w:color w:val="231F20"/>
          <w:spacing w:val="-6"/>
        </w:rPr>
        <w:t> </w:t>
      </w:r>
      <w:r>
        <w:rPr>
          <w:color w:val="231F20"/>
        </w:rPr>
        <w:t>subsequent</w:t>
      </w:r>
      <w:r>
        <w:rPr>
          <w:color w:val="231F20"/>
          <w:spacing w:val="-5"/>
        </w:rPr>
        <w:t> </w:t>
      </w:r>
      <w:r>
        <w:rPr>
          <w:color w:val="231F20"/>
        </w:rPr>
        <w:t>special</w:t>
      </w:r>
      <w:r>
        <w:rPr>
          <w:color w:val="231F20"/>
          <w:spacing w:val="-5"/>
        </w:rPr>
        <w:t> </w:t>
      </w:r>
      <w:r>
        <w:rPr>
          <w:color w:val="231F20"/>
        </w:rPr>
        <w:t>or regular meeting.</w:t>
      </w:r>
    </w:p>
    <w:p>
      <w:pPr>
        <w:pStyle w:val="BodyText"/>
        <w:spacing w:before="11"/>
        <w:rPr>
          <w:sz w:val="27"/>
        </w:rPr>
      </w:pPr>
    </w:p>
    <w:p>
      <w:pPr>
        <w:spacing w:before="0"/>
        <w:ind w:left="475" w:right="0" w:firstLine="0"/>
        <w:jc w:val="both"/>
        <w:rPr>
          <w:i/>
          <w:sz w:val="24"/>
        </w:rPr>
      </w:pPr>
      <w:bookmarkStart w:name="Example 25:" w:id="83"/>
      <w:bookmarkEnd w:id="8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25:</w:t>
      </w:r>
    </w:p>
    <w:p>
      <w:pPr>
        <w:pStyle w:val="BodyText"/>
        <w:spacing w:before="11"/>
        <w:rPr>
          <w:i/>
          <w:sz w:val="27"/>
        </w:rPr>
      </w:pPr>
    </w:p>
    <w:p>
      <w:pPr>
        <w:spacing w:before="0"/>
        <w:ind w:left="475" w:right="38" w:firstLine="0"/>
        <w:jc w:val="both"/>
        <w:rPr>
          <w:i/>
          <w:sz w:val="24"/>
        </w:rPr>
      </w:pPr>
      <w:r>
        <w:rPr>
          <w:i/>
          <w:color w:val="231F20"/>
          <w:sz w:val="24"/>
        </w:rPr>
        <w:t>A mutual domestic water users association</w:t>
      </w:r>
      <w:r>
        <w:rPr>
          <w:i/>
          <w:color w:val="231F20"/>
          <w:sz w:val="24"/>
        </w:rPr>
        <w:t> reserves an hour of its regular board meeting</w:t>
      </w:r>
      <w:r>
        <w:rPr>
          <w:i/>
          <w:color w:val="231F20"/>
          <w:spacing w:val="40"/>
          <w:sz w:val="24"/>
        </w:rPr>
        <w:t> </w:t>
      </w:r>
      <w:r>
        <w:rPr>
          <w:i/>
          <w:color w:val="231F20"/>
          <w:sz w:val="24"/>
        </w:rPr>
        <w:t>for public comment. During the public comment portion of a meeting, a member of the association complains about frequent interruptions</w:t>
      </w:r>
      <w:r>
        <w:rPr>
          <w:i/>
          <w:color w:val="231F20"/>
          <w:spacing w:val="-3"/>
          <w:sz w:val="24"/>
        </w:rPr>
        <w:t> </w:t>
      </w:r>
      <w:r>
        <w:rPr>
          <w:i/>
          <w:color w:val="231F20"/>
          <w:sz w:val="24"/>
        </w:rPr>
        <w:t>in</w:t>
      </w:r>
      <w:r>
        <w:rPr>
          <w:i/>
          <w:color w:val="231F20"/>
          <w:spacing w:val="-5"/>
          <w:sz w:val="24"/>
        </w:rPr>
        <w:t> </w:t>
      </w:r>
      <w:r>
        <w:rPr>
          <w:i/>
          <w:color w:val="231F20"/>
          <w:sz w:val="24"/>
        </w:rPr>
        <w:t>water</w:t>
      </w:r>
      <w:r>
        <w:rPr>
          <w:i/>
          <w:color w:val="231F20"/>
          <w:spacing w:val="-3"/>
          <w:sz w:val="24"/>
        </w:rPr>
        <w:t> </w:t>
      </w:r>
      <w:r>
        <w:rPr>
          <w:i/>
          <w:color w:val="231F20"/>
          <w:sz w:val="24"/>
        </w:rPr>
        <w:t>service.</w:t>
      </w:r>
      <w:r>
        <w:rPr>
          <w:i/>
          <w:color w:val="231F20"/>
          <w:spacing w:val="-3"/>
          <w:sz w:val="24"/>
        </w:rPr>
        <w:t> </w:t>
      </w:r>
      <w:r>
        <w:rPr>
          <w:i/>
          <w:color w:val="231F20"/>
          <w:sz w:val="24"/>
        </w:rPr>
        <w:t>The</w:t>
      </w:r>
      <w:r>
        <w:rPr>
          <w:i/>
          <w:color w:val="231F20"/>
          <w:spacing w:val="-4"/>
          <w:sz w:val="24"/>
        </w:rPr>
        <w:t> </w:t>
      </w:r>
      <w:r>
        <w:rPr>
          <w:i/>
          <w:color w:val="231F20"/>
          <w:sz w:val="24"/>
        </w:rPr>
        <w:t>topic</w:t>
      </w:r>
      <w:r>
        <w:rPr>
          <w:i/>
          <w:color w:val="231F20"/>
          <w:spacing w:val="-4"/>
          <w:sz w:val="24"/>
        </w:rPr>
        <w:t> </w:t>
      </w:r>
      <w:r>
        <w:rPr>
          <w:i/>
          <w:color w:val="231F20"/>
          <w:sz w:val="24"/>
        </w:rPr>
        <w:t>was</w:t>
      </w:r>
      <w:r>
        <w:rPr>
          <w:i/>
          <w:color w:val="231F20"/>
          <w:spacing w:val="-3"/>
          <w:sz w:val="24"/>
        </w:rPr>
        <w:t> </w:t>
      </w:r>
      <w:r>
        <w:rPr>
          <w:i/>
          <w:color w:val="231F20"/>
          <w:sz w:val="24"/>
        </w:rPr>
        <w:t>not listed on the agenda for the meeting. If they choose, the board</w:t>
      </w:r>
      <w:r>
        <w:rPr>
          <w:i/>
          <w:color w:val="231F20"/>
          <w:spacing w:val="-2"/>
          <w:sz w:val="24"/>
        </w:rPr>
        <w:t> </w:t>
      </w:r>
      <w:r>
        <w:rPr>
          <w:i/>
          <w:color w:val="231F20"/>
          <w:sz w:val="24"/>
        </w:rPr>
        <w:t>members may discuss </w:t>
      </w:r>
      <w:r>
        <w:rPr>
          <w:i/>
          <w:color w:val="231F20"/>
          <w:sz w:val="24"/>
        </w:rPr>
        <w:t>options for addressing the complaint, but must delay</w:t>
      </w:r>
      <w:r>
        <w:rPr>
          <w:i/>
          <w:color w:val="231F20"/>
          <w:spacing w:val="40"/>
          <w:sz w:val="24"/>
        </w:rPr>
        <w:t> </w:t>
      </w:r>
      <w:r>
        <w:rPr>
          <w:i/>
          <w:color w:val="231F20"/>
          <w:sz w:val="24"/>
        </w:rPr>
        <w:t>any</w:t>
      </w:r>
      <w:r>
        <w:rPr>
          <w:i/>
          <w:color w:val="231F20"/>
          <w:spacing w:val="-1"/>
          <w:sz w:val="24"/>
        </w:rPr>
        <w:t> </w:t>
      </w:r>
      <w:r>
        <w:rPr>
          <w:i/>
          <w:color w:val="231F20"/>
          <w:sz w:val="24"/>
        </w:rPr>
        <w:t>action on it until a subsequent meeting after the issue is listed on the agenda available to the public seventy-two</w:t>
      </w:r>
      <w:r>
        <w:rPr>
          <w:i/>
          <w:color w:val="231F20"/>
          <w:spacing w:val="40"/>
          <w:sz w:val="24"/>
        </w:rPr>
        <w:t> </w:t>
      </w:r>
      <w:r>
        <w:rPr>
          <w:i/>
          <w:color w:val="231F20"/>
          <w:sz w:val="24"/>
        </w:rPr>
        <w:t>hours before the meeting.</w:t>
      </w:r>
    </w:p>
    <w:p>
      <w:pPr>
        <w:pStyle w:val="BodyText"/>
        <w:rPr>
          <w:i/>
        </w:rPr>
      </w:pPr>
    </w:p>
    <w:p>
      <w:pPr>
        <w:pStyle w:val="ListParagraph"/>
        <w:numPr>
          <w:ilvl w:val="0"/>
          <w:numId w:val="10"/>
        </w:numPr>
        <w:tabs>
          <w:tab w:pos="716" w:val="left" w:leader="none"/>
        </w:tabs>
        <w:spacing w:line="240" w:lineRule="auto" w:before="0" w:after="0"/>
        <w:ind w:left="715" w:right="0" w:hanging="241"/>
        <w:jc w:val="left"/>
        <w:rPr>
          <w:sz w:val="24"/>
        </w:rPr>
      </w:pPr>
      <w:bookmarkStart w:name="3. Specific Agenda Items" w:id="84"/>
      <w:bookmarkEnd w:id="84"/>
      <w:r>
        <w:rPr>
          <w:color w:val="231F20"/>
          <w:sz w:val="24"/>
          <w:u w:val="single" w:color="231F20"/>
        </w:rPr>
        <w:t>S</w:t>
      </w:r>
      <w:r>
        <w:rPr>
          <w:color w:val="231F20"/>
          <w:sz w:val="24"/>
          <w:u w:val="single" w:color="231F20"/>
        </w:rPr>
        <w:t>pecific</w:t>
      </w:r>
      <w:r>
        <w:rPr>
          <w:color w:val="231F20"/>
          <w:spacing w:val="-5"/>
          <w:sz w:val="24"/>
          <w:u w:val="single" w:color="231F20"/>
        </w:rPr>
        <w:t> </w:t>
      </w:r>
      <w:r>
        <w:rPr>
          <w:color w:val="231F20"/>
          <w:sz w:val="24"/>
          <w:u w:val="single" w:color="231F20"/>
        </w:rPr>
        <w:t>Agenda</w:t>
      </w:r>
      <w:r>
        <w:rPr>
          <w:color w:val="231F20"/>
          <w:spacing w:val="-3"/>
          <w:sz w:val="24"/>
          <w:u w:val="single" w:color="231F20"/>
        </w:rPr>
        <w:t> </w:t>
      </w:r>
      <w:r>
        <w:rPr>
          <w:color w:val="231F20"/>
          <w:spacing w:val="-4"/>
          <w:sz w:val="24"/>
          <w:u w:val="single" w:color="231F20"/>
        </w:rPr>
        <w:t>Items</w:t>
      </w:r>
    </w:p>
    <w:p>
      <w:pPr>
        <w:pStyle w:val="BodyText"/>
      </w:pPr>
    </w:p>
    <w:p>
      <w:pPr>
        <w:pStyle w:val="BodyText"/>
        <w:spacing w:before="1"/>
        <w:ind w:left="475" w:right="38"/>
        <w:jc w:val="both"/>
      </w:pPr>
      <w:r>
        <w:rPr>
          <w:color w:val="231F20"/>
        </w:rPr>
        <w:t>The agenda must contain a list of “specific items” of business to be discussed or transacted at the meeting. The requirement for a list of specific</w:t>
      </w:r>
      <w:r>
        <w:rPr>
          <w:color w:val="231F20"/>
          <w:spacing w:val="-3"/>
        </w:rPr>
        <w:t> </w:t>
      </w:r>
      <w:r>
        <w:rPr>
          <w:color w:val="231F20"/>
        </w:rPr>
        <w:t>items</w:t>
      </w:r>
      <w:r>
        <w:rPr>
          <w:color w:val="231F20"/>
          <w:spacing w:val="-1"/>
        </w:rPr>
        <w:t> </w:t>
      </w:r>
      <w:r>
        <w:rPr>
          <w:color w:val="231F20"/>
        </w:rPr>
        <w:t>of</w:t>
      </w:r>
      <w:r>
        <w:rPr>
          <w:color w:val="231F20"/>
          <w:spacing w:val="-2"/>
        </w:rPr>
        <w:t> </w:t>
      </w:r>
      <w:r>
        <w:rPr>
          <w:color w:val="231F20"/>
        </w:rPr>
        <w:t>business</w:t>
      </w:r>
      <w:r>
        <w:rPr>
          <w:color w:val="231F20"/>
          <w:spacing w:val="-1"/>
        </w:rPr>
        <w:t> </w:t>
      </w:r>
      <w:r>
        <w:rPr>
          <w:color w:val="231F20"/>
        </w:rPr>
        <w:t>ensures</w:t>
      </w:r>
      <w:r>
        <w:rPr>
          <w:color w:val="231F20"/>
          <w:spacing w:val="-1"/>
        </w:rPr>
        <w:t> </w:t>
      </w:r>
      <w:r>
        <w:rPr>
          <w:color w:val="231F20"/>
        </w:rPr>
        <w:t>that</w:t>
      </w:r>
      <w:r>
        <w:rPr>
          <w:color w:val="231F20"/>
          <w:spacing w:val="-1"/>
        </w:rPr>
        <w:t> </w:t>
      </w:r>
      <w:r>
        <w:rPr>
          <w:color w:val="231F20"/>
        </w:rPr>
        <w:t>interested members of the public are given reasonable notice about the topics a public body plans on discussing or addressing at a meeting. A public body should avoid describing agenda items in general, broad or vague terms, which might be interpreted as an attempt to mislead the public about the business the public body intends to transact. This is an especially important consideration when a public body intends to act on an agenda item.</w:t>
      </w:r>
    </w:p>
    <w:p>
      <w:pPr>
        <w:spacing w:before="90"/>
        <w:ind w:left="475" w:right="0" w:firstLine="0"/>
        <w:jc w:val="left"/>
        <w:rPr>
          <w:i/>
          <w:sz w:val="24"/>
        </w:rPr>
      </w:pPr>
      <w:r>
        <w:rPr/>
        <w:br w:type="column"/>
      </w:r>
      <w:bookmarkStart w:name="Example 26:" w:id="85"/>
      <w:bookmarkEnd w:id="8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26:</w:t>
      </w:r>
    </w:p>
    <w:p>
      <w:pPr>
        <w:pStyle w:val="BodyText"/>
        <w:spacing w:before="11"/>
        <w:rPr>
          <w:i/>
          <w:sz w:val="23"/>
        </w:rPr>
      </w:pPr>
    </w:p>
    <w:p>
      <w:pPr>
        <w:spacing w:before="0"/>
        <w:ind w:left="475" w:right="376" w:firstLine="0"/>
        <w:jc w:val="left"/>
        <w:rPr>
          <w:i/>
          <w:sz w:val="24"/>
        </w:rPr>
      </w:pPr>
      <w:r>
        <w:rPr>
          <w:i/>
          <w:color w:val="231F20"/>
          <w:sz w:val="24"/>
        </w:rPr>
        <w:t>The</w:t>
      </w:r>
      <w:r>
        <w:rPr>
          <w:i/>
          <w:color w:val="231F20"/>
          <w:spacing w:val="-5"/>
          <w:sz w:val="24"/>
        </w:rPr>
        <w:t> </w:t>
      </w:r>
      <w:r>
        <w:rPr>
          <w:i/>
          <w:color w:val="231F20"/>
          <w:sz w:val="24"/>
        </w:rPr>
        <w:t>agenda</w:t>
      </w:r>
      <w:r>
        <w:rPr>
          <w:i/>
          <w:color w:val="231F20"/>
          <w:spacing w:val="-4"/>
          <w:sz w:val="24"/>
        </w:rPr>
        <w:t> </w:t>
      </w:r>
      <w:r>
        <w:rPr>
          <w:i/>
          <w:color w:val="231F20"/>
          <w:sz w:val="24"/>
        </w:rPr>
        <w:t>for</w:t>
      </w:r>
      <w:r>
        <w:rPr>
          <w:i/>
          <w:color w:val="231F20"/>
          <w:spacing w:val="-4"/>
          <w:sz w:val="24"/>
        </w:rPr>
        <w:t> </w:t>
      </w:r>
      <w:r>
        <w:rPr>
          <w:i/>
          <w:color w:val="231F20"/>
          <w:sz w:val="24"/>
        </w:rPr>
        <w:t>a</w:t>
      </w:r>
      <w:r>
        <w:rPr>
          <w:i/>
          <w:color w:val="231F20"/>
          <w:spacing w:val="-4"/>
          <w:sz w:val="24"/>
        </w:rPr>
        <w:t> </w:t>
      </w:r>
      <w:r>
        <w:rPr>
          <w:i/>
          <w:color w:val="231F20"/>
          <w:sz w:val="24"/>
        </w:rPr>
        <w:t>school</w:t>
      </w:r>
      <w:r>
        <w:rPr>
          <w:i/>
          <w:color w:val="231F20"/>
          <w:spacing w:val="-1"/>
          <w:sz w:val="24"/>
        </w:rPr>
        <w:t> </w:t>
      </w:r>
      <w:r>
        <w:rPr>
          <w:i/>
          <w:color w:val="231F20"/>
          <w:sz w:val="24"/>
        </w:rPr>
        <w:t>board</w:t>
      </w:r>
      <w:r>
        <w:rPr>
          <w:i/>
          <w:color w:val="231F20"/>
          <w:spacing w:val="-4"/>
          <w:sz w:val="24"/>
        </w:rPr>
        <w:t> </w:t>
      </w:r>
      <w:r>
        <w:rPr>
          <w:i/>
          <w:color w:val="231F20"/>
          <w:sz w:val="24"/>
        </w:rPr>
        <w:t>meeting</w:t>
      </w:r>
      <w:r>
        <w:rPr>
          <w:i/>
          <w:color w:val="231F20"/>
          <w:spacing w:val="-4"/>
          <w:sz w:val="24"/>
        </w:rPr>
        <w:t> </w:t>
      </w:r>
      <w:r>
        <w:rPr>
          <w:i/>
          <w:color w:val="231F20"/>
          <w:sz w:val="24"/>
        </w:rPr>
        <w:t>contains</w:t>
      </w:r>
      <w:r>
        <w:rPr>
          <w:i/>
          <w:color w:val="231F20"/>
          <w:sz w:val="24"/>
        </w:rPr>
        <w:t> the following items of business:</w:t>
      </w:r>
    </w:p>
    <w:p>
      <w:pPr>
        <w:pStyle w:val="ListParagraph"/>
        <w:numPr>
          <w:ilvl w:val="1"/>
          <w:numId w:val="10"/>
        </w:numPr>
        <w:tabs>
          <w:tab w:pos="836" w:val="left" w:leader="none"/>
        </w:tabs>
        <w:spacing w:line="240" w:lineRule="auto" w:before="0" w:after="0"/>
        <w:ind w:left="835" w:right="0" w:hanging="241"/>
        <w:jc w:val="left"/>
        <w:rPr>
          <w:i/>
          <w:sz w:val="24"/>
        </w:rPr>
      </w:pPr>
      <w:r>
        <w:rPr>
          <w:i/>
          <w:color w:val="231F20"/>
          <w:sz w:val="24"/>
        </w:rPr>
        <w:t>Old</w:t>
      </w:r>
      <w:r>
        <w:rPr>
          <w:i/>
          <w:color w:val="231F20"/>
          <w:spacing w:val="-3"/>
          <w:sz w:val="24"/>
        </w:rPr>
        <w:t> </w:t>
      </w:r>
      <w:r>
        <w:rPr>
          <w:i/>
          <w:color w:val="231F20"/>
          <w:spacing w:val="-2"/>
          <w:sz w:val="24"/>
        </w:rPr>
        <w:t>Business</w:t>
      </w:r>
    </w:p>
    <w:p>
      <w:pPr>
        <w:pStyle w:val="ListParagraph"/>
        <w:numPr>
          <w:ilvl w:val="1"/>
          <w:numId w:val="10"/>
        </w:numPr>
        <w:tabs>
          <w:tab w:pos="836" w:val="left" w:leader="none"/>
        </w:tabs>
        <w:spacing w:line="240" w:lineRule="auto" w:before="0" w:after="0"/>
        <w:ind w:left="835" w:right="0" w:hanging="241"/>
        <w:jc w:val="left"/>
        <w:rPr>
          <w:i/>
          <w:sz w:val="24"/>
        </w:rPr>
      </w:pPr>
      <w:r>
        <w:rPr>
          <w:i/>
          <w:color w:val="231F20"/>
          <w:sz w:val="24"/>
        </w:rPr>
        <w:t>New</w:t>
      </w:r>
      <w:r>
        <w:rPr>
          <w:i/>
          <w:color w:val="231F20"/>
          <w:spacing w:val="-1"/>
          <w:sz w:val="24"/>
        </w:rPr>
        <w:t> </w:t>
      </w:r>
      <w:r>
        <w:rPr>
          <w:i/>
          <w:color w:val="231F20"/>
          <w:spacing w:val="-2"/>
          <w:sz w:val="24"/>
        </w:rPr>
        <w:t>Business</w:t>
      </w:r>
    </w:p>
    <w:p>
      <w:pPr>
        <w:pStyle w:val="ListParagraph"/>
        <w:numPr>
          <w:ilvl w:val="2"/>
          <w:numId w:val="10"/>
        </w:numPr>
        <w:tabs>
          <w:tab w:pos="1436" w:val="left" w:leader="none"/>
        </w:tabs>
        <w:spacing w:line="240" w:lineRule="auto" w:before="0" w:after="0"/>
        <w:ind w:left="1435" w:right="1993" w:hanging="240"/>
        <w:jc w:val="left"/>
        <w:rPr>
          <w:i/>
          <w:sz w:val="24"/>
        </w:rPr>
      </w:pPr>
      <w:bookmarkStart w:name="a. vending machines in the" w:id="86"/>
      <w:bookmarkEnd w:id="86"/>
      <w:r>
        <w:rPr>
          <w:i/>
          <w:color w:val="231F20"/>
          <w:sz w:val="24"/>
        </w:rPr>
        <w:t>v</w:t>
      </w:r>
      <w:r>
        <w:rPr>
          <w:i/>
          <w:color w:val="231F20"/>
          <w:sz w:val="24"/>
        </w:rPr>
        <w:t>ending</w:t>
      </w:r>
      <w:r>
        <w:rPr>
          <w:i/>
          <w:color w:val="231F20"/>
          <w:spacing w:val="-13"/>
          <w:sz w:val="24"/>
        </w:rPr>
        <w:t> </w:t>
      </w:r>
      <w:r>
        <w:rPr>
          <w:i/>
          <w:color w:val="231F20"/>
          <w:sz w:val="24"/>
        </w:rPr>
        <w:t>machines</w:t>
      </w:r>
      <w:r>
        <w:rPr>
          <w:i/>
          <w:color w:val="231F20"/>
          <w:spacing w:val="-13"/>
          <w:sz w:val="24"/>
        </w:rPr>
        <w:t> </w:t>
      </w:r>
      <w:r>
        <w:rPr>
          <w:i/>
          <w:color w:val="231F20"/>
          <w:sz w:val="24"/>
        </w:rPr>
        <w:t>in</w:t>
      </w:r>
      <w:r>
        <w:rPr>
          <w:i/>
          <w:color w:val="231F20"/>
          <w:spacing w:val="-13"/>
          <w:sz w:val="24"/>
        </w:rPr>
        <w:t> </w:t>
      </w:r>
      <w:r>
        <w:rPr>
          <w:i/>
          <w:color w:val="231F20"/>
          <w:sz w:val="24"/>
        </w:rPr>
        <w:t>the</w:t>
      </w:r>
      <w:r>
        <w:rPr>
          <w:i/>
          <w:color w:val="231F20"/>
          <w:sz w:val="24"/>
        </w:rPr>
        <w:t> </w:t>
      </w:r>
      <w:r>
        <w:rPr>
          <w:i/>
          <w:color w:val="231F20"/>
          <w:spacing w:val="-2"/>
          <w:sz w:val="24"/>
        </w:rPr>
        <w:t>cafeteria</w:t>
      </w:r>
    </w:p>
    <w:p>
      <w:pPr>
        <w:pStyle w:val="ListParagraph"/>
        <w:numPr>
          <w:ilvl w:val="2"/>
          <w:numId w:val="10"/>
        </w:numPr>
        <w:tabs>
          <w:tab w:pos="1436" w:val="left" w:leader="none"/>
        </w:tabs>
        <w:spacing w:line="240" w:lineRule="auto" w:before="0" w:after="0"/>
        <w:ind w:left="1435" w:right="0" w:hanging="241"/>
        <w:jc w:val="left"/>
        <w:rPr>
          <w:i/>
          <w:sz w:val="24"/>
        </w:rPr>
      </w:pPr>
      <w:bookmarkStart w:name="b. personnel matters" w:id="87"/>
      <w:bookmarkEnd w:id="87"/>
      <w:r>
        <w:rPr>
          <w:i/>
          <w:color w:val="231F20"/>
          <w:sz w:val="24"/>
        </w:rPr>
        <w:t>p</w:t>
      </w:r>
      <w:r>
        <w:rPr>
          <w:i/>
          <w:color w:val="231F20"/>
          <w:sz w:val="24"/>
        </w:rPr>
        <w:t>ersonnel</w:t>
      </w:r>
      <w:r>
        <w:rPr>
          <w:i/>
          <w:color w:val="231F20"/>
          <w:spacing w:val="-4"/>
          <w:sz w:val="24"/>
        </w:rPr>
        <w:t> </w:t>
      </w:r>
      <w:r>
        <w:rPr>
          <w:i/>
          <w:color w:val="231F20"/>
          <w:spacing w:val="-2"/>
          <w:sz w:val="24"/>
        </w:rPr>
        <w:t>matters</w:t>
      </w:r>
    </w:p>
    <w:p>
      <w:pPr>
        <w:pStyle w:val="BodyText"/>
        <w:rPr>
          <w:i/>
        </w:rPr>
      </w:pPr>
    </w:p>
    <w:p>
      <w:pPr>
        <w:spacing w:before="0"/>
        <w:ind w:left="475" w:right="597" w:firstLine="0"/>
        <w:jc w:val="both"/>
        <w:rPr>
          <w:i/>
          <w:sz w:val="24"/>
        </w:rPr>
      </w:pPr>
      <w:r>
        <w:rPr>
          <w:i/>
          <w:color w:val="231F20"/>
          <w:sz w:val="24"/>
        </w:rPr>
        <w:t>Under item 1, the board discusses and acts on</w:t>
      </w:r>
      <w:r>
        <w:rPr>
          <w:i/>
          <w:color w:val="231F20"/>
          <w:sz w:val="24"/>
        </w:rPr>
        <w:t> three contracts. Under item 2(a), the board discusses and votes to allow vending machines in the middle school cafeteria. Under item2(b), the board dismisses the director of the district’s administrative office and reorganizes the remaining staff positions. The board’s vote under item 2(a) is proper. In contrast, the board’s actions under items 1 and 2(b) violate the Act because those items were not listed as “specific items of business” on the agenda, as required by the Act. Items 1 and 2(b) are described in such general and vague terms that they do not give the public a reasonably clear idea about the actions the board intended to</w:t>
      </w:r>
      <w:r>
        <w:rPr>
          <w:i/>
          <w:color w:val="231F20"/>
          <w:spacing w:val="40"/>
          <w:sz w:val="24"/>
        </w:rPr>
        <w:t> </w:t>
      </w:r>
      <w:r>
        <w:rPr>
          <w:i/>
          <w:color w:val="231F20"/>
          <w:sz w:val="24"/>
        </w:rPr>
        <w:t>take at the meeting.</w:t>
      </w:r>
    </w:p>
    <w:p>
      <w:pPr>
        <w:pStyle w:val="BodyText"/>
        <w:rPr>
          <w:i/>
        </w:rPr>
      </w:pPr>
    </w:p>
    <w:p>
      <w:pPr>
        <w:pStyle w:val="BodyText"/>
        <w:spacing w:before="1"/>
        <w:ind w:left="475"/>
      </w:pPr>
      <w:bookmarkStart w:name="Commentary" w:id="88"/>
      <w:bookmarkEnd w:id="88"/>
      <w:r>
        <w:rPr/>
      </w:r>
      <w:r>
        <w:rPr>
          <w:color w:val="231F20"/>
          <w:spacing w:val="-2"/>
          <w:u w:val="single" w:color="231F20"/>
        </w:rPr>
        <w:t>Commentary</w:t>
      </w:r>
    </w:p>
    <w:p>
      <w:pPr>
        <w:pStyle w:val="BodyText"/>
      </w:pPr>
    </w:p>
    <w:p>
      <w:pPr>
        <w:pStyle w:val="BodyText"/>
        <w:ind w:left="475" w:right="596"/>
        <w:jc w:val="both"/>
      </w:pPr>
      <w:r>
        <w:rPr>
          <w:color w:val="231F20"/>
        </w:rPr>
        <w:t>The</w:t>
      </w:r>
      <w:r>
        <w:rPr>
          <w:color w:val="231F20"/>
          <w:spacing w:val="-1"/>
        </w:rPr>
        <w:t> </w:t>
      </w:r>
      <w:r>
        <w:rPr>
          <w:color w:val="231F20"/>
        </w:rPr>
        <w:t>Act relaxes the</w:t>
      </w:r>
      <w:r>
        <w:rPr>
          <w:color w:val="231F20"/>
          <w:spacing w:val="-1"/>
        </w:rPr>
        <w:t> </w:t>
      </w:r>
      <w:r>
        <w:rPr>
          <w:color w:val="231F20"/>
        </w:rPr>
        <w:t>agenda</w:t>
      </w:r>
      <w:r>
        <w:rPr>
          <w:color w:val="231F20"/>
          <w:spacing w:val="-1"/>
        </w:rPr>
        <w:t> </w:t>
      </w:r>
      <w:r>
        <w:rPr>
          <w:color w:val="231F20"/>
        </w:rPr>
        <w:t>requirement in cases of</w:t>
      </w:r>
      <w:r>
        <w:rPr>
          <w:color w:val="231F20"/>
        </w:rPr>
        <w:t> emergency.</w:t>
      </w:r>
      <w:r>
        <w:rPr>
          <w:color w:val="231F20"/>
        </w:rPr>
        <w:t> The</w:t>
      </w:r>
      <w:r>
        <w:rPr>
          <w:color w:val="231F20"/>
        </w:rPr>
        <w:t> public</w:t>
      </w:r>
      <w:r>
        <w:rPr>
          <w:color w:val="231F20"/>
        </w:rPr>
        <w:t> body</w:t>
      </w:r>
      <w:r>
        <w:rPr>
          <w:color w:val="231F20"/>
        </w:rPr>
        <w:t> must still provide an agenda for an emergency meeting, but it need not be available twenty-four hours before the meeting. In addition, if an emergency matter arises too late to appear on a meeting’s agenda, the public body is permitted to discuss and take action on the matter. For purposes of the agenda requirements, an “emergency” is a matter that could not be foreseen by the public body and that requires immediate attention by the public body to avoid imminent personal injury or property damage or substantial financial loss to the public body.</w:t>
      </w:r>
    </w:p>
    <w:p>
      <w:pPr>
        <w:pStyle w:val="BodyText"/>
        <w:spacing w:before="9"/>
        <w:rPr>
          <w:sz w:val="23"/>
        </w:rPr>
      </w:pPr>
    </w:p>
    <w:p>
      <w:pPr>
        <w:spacing w:before="0"/>
        <w:ind w:left="475" w:right="0" w:firstLine="0"/>
        <w:jc w:val="both"/>
        <w:rPr>
          <w:i/>
          <w:sz w:val="24"/>
        </w:rPr>
      </w:pPr>
      <w:bookmarkStart w:name="Example 27:" w:id="89"/>
      <w:bookmarkEnd w:id="89"/>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27:</w:t>
      </w:r>
    </w:p>
    <w:p>
      <w:pPr>
        <w:pStyle w:val="BodyText"/>
        <w:rPr>
          <w:i/>
        </w:rPr>
      </w:pPr>
    </w:p>
    <w:p>
      <w:pPr>
        <w:spacing w:before="0"/>
        <w:ind w:left="475" w:right="599" w:firstLine="0"/>
        <w:jc w:val="both"/>
        <w:rPr>
          <w:i/>
          <w:sz w:val="24"/>
        </w:rPr>
      </w:pPr>
      <w:r>
        <w:rPr>
          <w:i/>
          <w:color w:val="231F20"/>
          <w:sz w:val="24"/>
        </w:rPr>
        <w:t>One hour before its regular meeting, a county</w:t>
      </w:r>
      <w:r>
        <w:rPr>
          <w:i/>
          <w:color w:val="231F20"/>
          <w:sz w:val="24"/>
        </w:rPr>
        <w:t> commission is informed by the president of the bank</w:t>
      </w:r>
      <w:r>
        <w:rPr>
          <w:i/>
          <w:color w:val="231F20"/>
          <w:spacing w:val="35"/>
          <w:sz w:val="24"/>
        </w:rPr>
        <w:t> </w:t>
      </w:r>
      <w:r>
        <w:rPr>
          <w:i/>
          <w:color w:val="231F20"/>
          <w:sz w:val="24"/>
        </w:rPr>
        <w:t>holding</w:t>
      </w:r>
      <w:r>
        <w:rPr>
          <w:i/>
          <w:color w:val="231F20"/>
          <w:spacing w:val="37"/>
          <w:sz w:val="24"/>
        </w:rPr>
        <w:t> </w:t>
      </w:r>
      <w:r>
        <w:rPr>
          <w:i/>
          <w:color w:val="231F20"/>
          <w:sz w:val="24"/>
        </w:rPr>
        <w:t>deposits</w:t>
      </w:r>
      <w:r>
        <w:rPr>
          <w:i/>
          <w:color w:val="231F20"/>
          <w:spacing w:val="35"/>
          <w:sz w:val="24"/>
        </w:rPr>
        <w:t> </w:t>
      </w:r>
      <w:r>
        <w:rPr>
          <w:i/>
          <w:color w:val="231F20"/>
          <w:sz w:val="24"/>
        </w:rPr>
        <w:t>of</w:t>
      </w:r>
      <w:r>
        <w:rPr>
          <w:i/>
          <w:color w:val="231F20"/>
          <w:spacing w:val="36"/>
          <w:sz w:val="24"/>
        </w:rPr>
        <w:t> </w:t>
      </w:r>
      <w:r>
        <w:rPr>
          <w:i/>
          <w:color w:val="231F20"/>
          <w:sz w:val="24"/>
        </w:rPr>
        <w:t>county</w:t>
      </w:r>
      <w:r>
        <w:rPr>
          <w:i/>
          <w:color w:val="231F20"/>
          <w:spacing w:val="36"/>
          <w:sz w:val="24"/>
        </w:rPr>
        <w:t> </w:t>
      </w:r>
      <w:r>
        <w:rPr>
          <w:i/>
          <w:color w:val="231F20"/>
          <w:sz w:val="24"/>
        </w:rPr>
        <w:t>funds</w:t>
      </w:r>
      <w:r>
        <w:rPr>
          <w:i/>
          <w:color w:val="231F20"/>
          <w:spacing w:val="35"/>
          <w:sz w:val="24"/>
        </w:rPr>
        <w:t> </w:t>
      </w:r>
      <w:r>
        <w:rPr>
          <w:i/>
          <w:color w:val="231F20"/>
          <w:sz w:val="24"/>
        </w:rPr>
        <w:t>that</w:t>
      </w:r>
      <w:r>
        <w:rPr>
          <w:i/>
          <w:color w:val="231F20"/>
          <w:spacing w:val="34"/>
          <w:sz w:val="24"/>
        </w:rPr>
        <w:t> </w:t>
      </w:r>
      <w:r>
        <w:rPr>
          <w:i/>
          <w:color w:val="231F20"/>
          <w:spacing w:val="-5"/>
          <w:sz w:val="24"/>
        </w:rPr>
        <w:t>the</w:t>
      </w:r>
    </w:p>
    <w:p>
      <w:pPr>
        <w:spacing w:after="0"/>
        <w:jc w:val="both"/>
        <w:rPr>
          <w:sz w:val="24"/>
        </w:rPr>
        <w:sectPr>
          <w:type w:val="continuous"/>
          <w:pgSz w:w="12240" w:h="15840"/>
          <w:pgMar w:header="660" w:footer="484" w:top="480" w:bottom="280" w:left="360" w:right="240"/>
          <w:cols w:num="2" w:equalWidth="0">
            <w:col w:w="5198" w:space="684"/>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42" w:firstLine="0"/>
        <w:jc w:val="both"/>
        <w:rPr>
          <w:i/>
          <w:sz w:val="24"/>
        </w:rPr>
      </w:pPr>
      <w:r>
        <w:rPr>
          <w:i/>
          <w:color w:val="231F20"/>
          <w:sz w:val="24"/>
        </w:rPr>
        <w:t>bank is about to fail. Because of certain</w:t>
      </w:r>
      <w:r>
        <w:rPr>
          <w:i/>
          <w:color w:val="231F20"/>
          <w:sz w:val="24"/>
        </w:rPr>
        <w:t> accounting procedures, the commission’s deposits at the bank for the day total $50,000 above the amount covered by federal deposit insurance.</w:t>
      </w:r>
      <w:r>
        <w:rPr>
          <w:i/>
          <w:color w:val="231F20"/>
          <w:spacing w:val="-5"/>
          <w:sz w:val="24"/>
        </w:rPr>
        <w:t> </w:t>
      </w:r>
      <w:r>
        <w:rPr>
          <w:i/>
          <w:color w:val="231F20"/>
          <w:sz w:val="24"/>
        </w:rPr>
        <w:t>The</w:t>
      </w:r>
      <w:r>
        <w:rPr>
          <w:i/>
          <w:color w:val="231F20"/>
          <w:spacing w:val="-6"/>
          <w:sz w:val="24"/>
        </w:rPr>
        <w:t> </w:t>
      </w:r>
      <w:r>
        <w:rPr>
          <w:i/>
          <w:color w:val="231F20"/>
          <w:sz w:val="24"/>
        </w:rPr>
        <w:t>county</w:t>
      </w:r>
      <w:r>
        <w:rPr>
          <w:i/>
          <w:color w:val="231F20"/>
          <w:spacing w:val="-4"/>
          <w:sz w:val="24"/>
        </w:rPr>
        <w:t> </w:t>
      </w:r>
      <w:r>
        <w:rPr>
          <w:i/>
          <w:color w:val="231F20"/>
          <w:sz w:val="24"/>
        </w:rPr>
        <w:t>commission</w:t>
      </w:r>
      <w:r>
        <w:rPr>
          <w:i/>
          <w:color w:val="231F20"/>
          <w:spacing w:val="-5"/>
          <w:sz w:val="24"/>
        </w:rPr>
        <w:t> </w:t>
      </w:r>
      <w:r>
        <w:rPr>
          <w:i/>
          <w:color w:val="231F20"/>
          <w:sz w:val="24"/>
        </w:rPr>
        <w:t>may</w:t>
      </w:r>
      <w:r>
        <w:rPr>
          <w:i/>
          <w:color w:val="231F20"/>
          <w:spacing w:val="-6"/>
          <w:sz w:val="24"/>
        </w:rPr>
        <w:t> </w:t>
      </w:r>
      <w:r>
        <w:rPr>
          <w:i/>
          <w:color w:val="231F20"/>
          <w:sz w:val="24"/>
        </w:rPr>
        <w:t>consider and act on the matter at its regular meeting to avoid the $50,000 loss.</w:t>
      </w:r>
    </w:p>
    <w:p>
      <w:pPr>
        <w:pStyle w:val="BodyText"/>
        <w:rPr>
          <w:i/>
        </w:rPr>
      </w:pPr>
    </w:p>
    <w:p>
      <w:pPr>
        <w:spacing w:before="0"/>
        <w:ind w:left="475" w:right="0" w:firstLine="0"/>
        <w:jc w:val="both"/>
        <w:rPr>
          <w:i/>
          <w:sz w:val="24"/>
        </w:rPr>
      </w:pPr>
      <w:bookmarkStart w:name="Example 28:" w:id="90"/>
      <w:bookmarkEnd w:id="9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28:</w:t>
      </w:r>
    </w:p>
    <w:p>
      <w:pPr>
        <w:pStyle w:val="BodyText"/>
        <w:rPr>
          <w:i/>
        </w:rPr>
      </w:pPr>
    </w:p>
    <w:p>
      <w:pPr>
        <w:spacing w:before="0"/>
        <w:ind w:left="475" w:right="39" w:firstLine="0"/>
        <w:jc w:val="both"/>
        <w:rPr>
          <w:i/>
          <w:sz w:val="24"/>
        </w:rPr>
      </w:pPr>
      <w:r>
        <w:rPr>
          <w:i/>
          <w:color w:val="231F20"/>
          <w:sz w:val="24"/>
        </w:rPr>
        <w:t>A local school board calls a special meeting</w:t>
      </w:r>
      <w:r>
        <w:rPr>
          <w:i/>
          <w:color w:val="231F20"/>
          <w:sz w:val="24"/>
        </w:rPr>
        <w:t> with</w:t>
      </w:r>
      <w:r>
        <w:rPr>
          <w:i/>
          <w:color w:val="231F20"/>
          <w:spacing w:val="-3"/>
          <w:sz w:val="24"/>
        </w:rPr>
        <w:t> </w:t>
      </w:r>
      <w:r>
        <w:rPr>
          <w:i/>
          <w:color w:val="231F20"/>
          <w:sz w:val="24"/>
        </w:rPr>
        <w:t>three</w:t>
      </w:r>
      <w:r>
        <w:rPr>
          <w:i/>
          <w:color w:val="231F20"/>
          <w:spacing w:val="-4"/>
          <w:sz w:val="24"/>
        </w:rPr>
        <w:t> </w:t>
      </w:r>
      <w:r>
        <w:rPr>
          <w:i/>
          <w:color w:val="231F20"/>
          <w:sz w:val="24"/>
        </w:rPr>
        <w:t>days</w:t>
      </w:r>
      <w:r>
        <w:rPr>
          <w:i/>
          <w:color w:val="231F20"/>
          <w:spacing w:val="-3"/>
          <w:sz w:val="24"/>
        </w:rPr>
        <w:t> </w:t>
      </w:r>
      <w:r>
        <w:rPr>
          <w:i/>
          <w:color w:val="231F20"/>
          <w:sz w:val="24"/>
        </w:rPr>
        <w:t>notice.</w:t>
      </w:r>
      <w:r>
        <w:rPr>
          <w:i/>
          <w:color w:val="231F20"/>
          <w:spacing w:val="-3"/>
          <w:sz w:val="24"/>
        </w:rPr>
        <w:t> </w:t>
      </w:r>
      <w:r>
        <w:rPr>
          <w:i/>
          <w:color w:val="231F20"/>
          <w:sz w:val="24"/>
        </w:rPr>
        <w:t>The</w:t>
      </w:r>
      <w:r>
        <w:rPr>
          <w:i/>
          <w:color w:val="231F20"/>
          <w:spacing w:val="-4"/>
          <w:sz w:val="24"/>
        </w:rPr>
        <w:t> </w:t>
      </w:r>
      <w:r>
        <w:rPr>
          <w:i/>
          <w:color w:val="231F20"/>
          <w:sz w:val="24"/>
        </w:rPr>
        <w:t>meeting</w:t>
      </w:r>
      <w:r>
        <w:rPr>
          <w:i/>
          <w:color w:val="231F20"/>
          <w:spacing w:val="-3"/>
          <w:sz w:val="24"/>
        </w:rPr>
        <w:t> </w:t>
      </w:r>
      <w:r>
        <w:rPr>
          <w:i/>
          <w:color w:val="231F20"/>
          <w:sz w:val="24"/>
        </w:rPr>
        <w:t>notice</w:t>
      </w:r>
      <w:r>
        <w:rPr>
          <w:i/>
          <w:color w:val="231F20"/>
          <w:spacing w:val="-4"/>
          <w:sz w:val="24"/>
        </w:rPr>
        <w:t> </w:t>
      </w:r>
      <w:r>
        <w:rPr>
          <w:i/>
          <w:color w:val="231F20"/>
          <w:sz w:val="24"/>
        </w:rPr>
        <w:t>states that the only item to be discussed is the need for updated instructional materials for the</w:t>
      </w:r>
      <w:r>
        <w:rPr>
          <w:i/>
          <w:color w:val="231F20"/>
          <w:spacing w:val="40"/>
          <w:sz w:val="24"/>
        </w:rPr>
        <w:t> </w:t>
      </w:r>
      <w:r>
        <w:rPr>
          <w:i/>
          <w:color w:val="231F20"/>
          <w:sz w:val="24"/>
        </w:rPr>
        <w:t>following school year. The school board is not required to do anything else to comply with the agenda requirement of the Act.</w:t>
      </w:r>
    </w:p>
    <w:p>
      <w:pPr>
        <w:pStyle w:val="BodyText"/>
        <w:rPr>
          <w:i/>
        </w:rPr>
      </w:pPr>
    </w:p>
    <w:p>
      <w:pPr>
        <w:pStyle w:val="BodyText"/>
        <w:ind w:left="475"/>
      </w:pPr>
      <w:bookmarkStart w:name="Commentary" w:id="91"/>
      <w:bookmarkEnd w:id="91"/>
      <w:r>
        <w:rPr/>
      </w:r>
      <w:r>
        <w:rPr>
          <w:color w:val="231F20"/>
          <w:spacing w:val="-2"/>
          <w:u w:val="single" w:color="231F20"/>
        </w:rPr>
        <w:t>Commentary</w:t>
      </w:r>
    </w:p>
    <w:p>
      <w:pPr>
        <w:pStyle w:val="BodyText"/>
      </w:pPr>
    </w:p>
    <w:p>
      <w:pPr>
        <w:pStyle w:val="BodyText"/>
        <w:ind w:left="475" w:right="39"/>
        <w:jc w:val="both"/>
      </w:pPr>
      <w:r>
        <w:rPr>
          <w:color w:val="231F20"/>
        </w:rPr>
        <w:t>When a public body takes action on an emergency matter, it has ten days to report to</w:t>
      </w:r>
      <w:r>
        <w:rPr>
          <w:color w:val="231F20"/>
          <w:spacing w:val="40"/>
        </w:rPr>
        <w:t> </w:t>
      </w:r>
      <w:r>
        <w:rPr>
          <w:color w:val="231F20"/>
        </w:rPr>
        <w:t>the Office</w:t>
      </w:r>
      <w:r>
        <w:rPr>
          <w:color w:val="231F20"/>
        </w:rPr>
        <w:t> of</w:t>
      </w:r>
      <w:r>
        <w:rPr>
          <w:color w:val="231F20"/>
        </w:rPr>
        <w:t> the</w:t>
      </w:r>
      <w:r>
        <w:rPr>
          <w:color w:val="231F20"/>
        </w:rPr>
        <w:t> Attorney General. The report must include the action taken and the circumstances creating the emergency. Once it receives the report, the Office</w:t>
      </w:r>
      <w:r>
        <w:rPr>
          <w:color w:val="231F20"/>
        </w:rPr>
        <w:t> of</w:t>
      </w:r>
      <w:r>
        <w:rPr>
          <w:color w:val="231F20"/>
        </w:rPr>
        <w:t> the</w:t>
      </w:r>
      <w:r>
        <w:rPr>
          <w:color w:val="231F20"/>
        </w:rPr>
        <w:t> Attorney General will evaluate whether the public body properly treated the matter as an emergency for purposes of the Act’s agenda requirements.</w:t>
      </w:r>
    </w:p>
    <w:p>
      <w:pPr>
        <w:pStyle w:val="BodyText"/>
      </w:pPr>
    </w:p>
    <w:p>
      <w:pPr>
        <w:pStyle w:val="BodyText"/>
        <w:ind w:left="475" w:right="42"/>
        <w:jc w:val="both"/>
      </w:pPr>
      <w:r>
        <w:rPr>
          <w:color w:val="231F20"/>
        </w:rPr>
        <w:t>When a state or national emergency has been declared, the Act waives the requirement to report to the attorney general.</w:t>
      </w:r>
    </w:p>
    <w:p>
      <w:pPr>
        <w:pStyle w:val="BodyText"/>
        <w:spacing w:before="6"/>
      </w:pPr>
    </w:p>
    <w:p>
      <w:pPr>
        <w:pStyle w:val="Heading2"/>
        <w:numPr>
          <w:ilvl w:val="0"/>
          <w:numId w:val="6"/>
        </w:numPr>
        <w:tabs>
          <w:tab w:pos="833" w:val="left" w:leader="none"/>
        </w:tabs>
        <w:spacing w:line="240" w:lineRule="auto" w:before="0" w:after="0"/>
        <w:ind w:left="832" w:right="0" w:hanging="358"/>
        <w:jc w:val="left"/>
      </w:pPr>
      <w:bookmarkStart w:name="_TOC_250013" w:id="92"/>
      <w:bookmarkStart w:name="G. Minutes" w:id="93"/>
      <w:r>
        <w:rPr>
          <w:color w:val="231F20"/>
          <w:spacing w:val="-2"/>
        </w:rPr>
        <w:t>M</w:t>
      </w:r>
      <w:bookmarkEnd w:id="92"/>
      <w:r>
        <w:rPr>
          <w:color w:val="231F20"/>
          <w:spacing w:val="-2"/>
        </w:rPr>
        <w:t>inutes</w:t>
      </w:r>
    </w:p>
    <w:p>
      <w:pPr>
        <w:pStyle w:val="BodyText"/>
        <w:spacing w:before="10"/>
        <w:rPr>
          <w:b/>
          <w:sz w:val="23"/>
        </w:rPr>
      </w:pPr>
    </w:p>
    <w:p>
      <w:pPr>
        <w:spacing w:before="0"/>
        <w:ind w:left="475" w:right="0" w:firstLine="0"/>
        <w:jc w:val="left"/>
        <w:rPr>
          <w:b/>
          <w:sz w:val="24"/>
        </w:rPr>
      </w:pPr>
      <w:bookmarkStart w:name="The Law" w:id="94"/>
      <w:bookmarkEnd w:id="94"/>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38" w:firstLine="0"/>
        <w:jc w:val="both"/>
        <w:rPr>
          <w:b/>
          <w:sz w:val="24"/>
        </w:rPr>
      </w:pPr>
      <w:r>
        <w:rPr>
          <w:b/>
          <w:color w:val="231F20"/>
          <w:sz w:val="24"/>
        </w:rPr>
        <w:t>The board, commission or other policymaking body shall keep written</w:t>
      </w:r>
      <w:r>
        <w:rPr>
          <w:b/>
          <w:color w:val="231F20"/>
          <w:spacing w:val="40"/>
          <w:sz w:val="24"/>
        </w:rPr>
        <w:t> </w:t>
      </w:r>
      <w:r>
        <w:rPr>
          <w:b/>
          <w:color w:val="231F20"/>
          <w:sz w:val="24"/>
        </w:rPr>
        <w:t>minutes of all its meetings. The minutes shall include at a minimum the date,</w:t>
      </w:r>
      <w:r>
        <w:rPr>
          <w:b/>
          <w:color w:val="231F20"/>
          <w:sz w:val="24"/>
        </w:rPr>
        <w:t> time</w:t>
      </w:r>
      <w:r>
        <w:rPr>
          <w:b/>
          <w:color w:val="231F20"/>
          <w:sz w:val="24"/>
        </w:rPr>
        <w:t> and place of the meeting, the names of members</w:t>
      </w:r>
      <w:r>
        <w:rPr>
          <w:b/>
          <w:color w:val="231F20"/>
          <w:spacing w:val="40"/>
          <w:sz w:val="24"/>
        </w:rPr>
        <w:t> </w:t>
      </w:r>
      <w:r>
        <w:rPr>
          <w:b/>
          <w:color w:val="231F20"/>
          <w:sz w:val="24"/>
        </w:rPr>
        <w:t>in attendance</w:t>
      </w:r>
      <w:r>
        <w:rPr>
          <w:b/>
          <w:color w:val="231F20"/>
          <w:spacing w:val="-1"/>
          <w:sz w:val="24"/>
        </w:rPr>
        <w:t> </w:t>
      </w:r>
      <w:r>
        <w:rPr>
          <w:b/>
          <w:color w:val="231F20"/>
          <w:sz w:val="24"/>
        </w:rPr>
        <w:t>and those</w:t>
      </w:r>
      <w:r>
        <w:rPr>
          <w:b/>
          <w:color w:val="231F20"/>
          <w:spacing w:val="-1"/>
          <w:sz w:val="24"/>
        </w:rPr>
        <w:t> </w:t>
      </w:r>
      <w:r>
        <w:rPr>
          <w:b/>
          <w:color w:val="231F20"/>
          <w:sz w:val="24"/>
        </w:rPr>
        <w:t>absent, the</w:t>
      </w:r>
      <w:r>
        <w:rPr>
          <w:b/>
          <w:color w:val="231F20"/>
          <w:spacing w:val="-1"/>
          <w:sz w:val="24"/>
        </w:rPr>
        <w:t> </w:t>
      </w:r>
      <w:r>
        <w:rPr>
          <w:b/>
          <w:color w:val="231F20"/>
          <w:sz w:val="24"/>
        </w:rPr>
        <w:t>substance of the proposals considered</w:t>
      </w:r>
      <w:r>
        <w:rPr>
          <w:b/>
          <w:color w:val="231F20"/>
          <w:sz w:val="24"/>
        </w:rPr>
        <w:t> and a record of any decisions and votes taken that show how each member voted. All minutes are open to public inspection. Draft minutes shall be prepared</w:t>
      </w:r>
      <w:r>
        <w:rPr>
          <w:b/>
          <w:color w:val="231F20"/>
          <w:spacing w:val="39"/>
          <w:sz w:val="24"/>
        </w:rPr>
        <w:t> </w:t>
      </w:r>
      <w:r>
        <w:rPr>
          <w:b/>
          <w:color w:val="231F20"/>
          <w:sz w:val="24"/>
        </w:rPr>
        <w:t>within</w:t>
      </w:r>
      <w:r>
        <w:rPr>
          <w:b/>
          <w:color w:val="231F20"/>
          <w:spacing w:val="40"/>
          <w:sz w:val="24"/>
        </w:rPr>
        <w:t> </w:t>
      </w:r>
      <w:r>
        <w:rPr>
          <w:b/>
          <w:color w:val="231F20"/>
          <w:sz w:val="24"/>
        </w:rPr>
        <w:t>ten</w:t>
      </w:r>
      <w:r>
        <w:rPr>
          <w:b/>
          <w:color w:val="231F20"/>
          <w:spacing w:val="38"/>
          <w:sz w:val="24"/>
        </w:rPr>
        <w:t> </w:t>
      </w:r>
      <w:r>
        <w:rPr>
          <w:b/>
          <w:color w:val="231F20"/>
          <w:sz w:val="24"/>
        </w:rPr>
        <w:t>working</w:t>
      </w:r>
      <w:r>
        <w:rPr>
          <w:b/>
          <w:color w:val="231F20"/>
          <w:spacing w:val="39"/>
          <w:sz w:val="24"/>
        </w:rPr>
        <w:t> </w:t>
      </w:r>
      <w:r>
        <w:rPr>
          <w:b/>
          <w:color w:val="231F20"/>
          <w:sz w:val="24"/>
        </w:rPr>
        <w:t>days</w:t>
      </w:r>
      <w:r>
        <w:rPr>
          <w:b/>
          <w:color w:val="231F20"/>
          <w:spacing w:val="37"/>
          <w:sz w:val="24"/>
        </w:rPr>
        <w:t> </w:t>
      </w:r>
      <w:r>
        <w:rPr>
          <w:b/>
          <w:color w:val="231F20"/>
          <w:sz w:val="24"/>
        </w:rPr>
        <w:t>after</w:t>
      </w:r>
      <w:r>
        <w:rPr>
          <w:b/>
          <w:color w:val="231F20"/>
          <w:spacing w:val="38"/>
          <w:sz w:val="24"/>
        </w:rPr>
        <w:t> </w:t>
      </w:r>
      <w:r>
        <w:rPr>
          <w:b/>
          <w:color w:val="231F20"/>
          <w:spacing w:val="-5"/>
          <w:sz w:val="24"/>
        </w:rPr>
        <w:t>the</w:t>
      </w:r>
    </w:p>
    <w:p>
      <w:pPr>
        <w:spacing w:before="94"/>
        <w:ind w:left="475" w:right="599" w:firstLine="0"/>
        <w:jc w:val="both"/>
        <w:rPr>
          <w:b/>
          <w:sz w:val="24"/>
        </w:rPr>
      </w:pPr>
      <w:r>
        <w:rPr/>
        <w:br w:type="column"/>
      </w:r>
      <w:r>
        <w:rPr>
          <w:b/>
          <w:color w:val="231F20"/>
          <w:sz w:val="24"/>
        </w:rPr>
        <w:t>meeting and shall be approved, amended or disapproved at the next meeting where a quorum is present. Minutes shall not become official until</w:t>
      </w:r>
      <w:r>
        <w:rPr>
          <w:b/>
          <w:color w:val="231F20"/>
          <w:sz w:val="24"/>
        </w:rPr>
        <w:t> approved by the policymaking </w:t>
      </w:r>
      <w:r>
        <w:rPr>
          <w:b/>
          <w:color w:val="231F20"/>
          <w:spacing w:val="-4"/>
          <w:sz w:val="24"/>
        </w:rPr>
        <w:t>body.</w:t>
      </w:r>
    </w:p>
    <w:p>
      <w:pPr>
        <w:pStyle w:val="BodyText"/>
        <w:spacing w:before="7"/>
        <w:rPr>
          <w:b/>
          <w:sz w:val="23"/>
        </w:rPr>
      </w:pPr>
    </w:p>
    <w:p>
      <w:pPr>
        <w:pStyle w:val="BodyText"/>
        <w:ind w:left="475"/>
      </w:pPr>
      <w:bookmarkStart w:name="Commentary" w:id="95"/>
      <w:bookmarkEnd w:id="95"/>
      <w:r>
        <w:rPr/>
      </w:r>
      <w:r>
        <w:rPr>
          <w:color w:val="231F20"/>
          <w:spacing w:val="-2"/>
          <w:u w:val="single" w:color="231F20"/>
        </w:rPr>
        <w:t>Commentary</w:t>
      </w:r>
    </w:p>
    <w:p>
      <w:pPr>
        <w:pStyle w:val="BodyText"/>
      </w:pPr>
    </w:p>
    <w:p>
      <w:pPr>
        <w:pStyle w:val="BodyText"/>
        <w:ind w:left="475" w:right="597"/>
        <w:jc w:val="both"/>
      </w:pPr>
      <w:r>
        <w:rPr>
          <w:color w:val="231F20"/>
        </w:rPr>
        <w:t>All public bodies subject to the provisions of</w:t>
      </w:r>
      <w:r>
        <w:rPr>
          <w:color w:val="231F20"/>
          <w:spacing w:val="40"/>
        </w:rPr>
        <w:t> </w:t>
      </w:r>
      <w:r>
        <w:rPr>
          <w:color w:val="231F20"/>
        </w:rPr>
        <w:t>this Act are required to keep written minutes of all open meetings. (As discussed in the next section, minutes need not be kept during closed sessions.)</w:t>
      </w:r>
      <w:r>
        <w:rPr>
          <w:color w:val="231F20"/>
          <w:spacing w:val="-6"/>
        </w:rPr>
        <w:t> </w:t>
      </w:r>
      <w:r>
        <w:rPr>
          <w:color w:val="231F20"/>
        </w:rPr>
        <w:t>Minutes</w:t>
      </w:r>
      <w:r>
        <w:rPr>
          <w:color w:val="231F20"/>
          <w:spacing w:val="-5"/>
        </w:rPr>
        <w:t> </w:t>
      </w:r>
      <w:r>
        <w:rPr>
          <w:color w:val="231F20"/>
        </w:rPr>
        <w:t>of</w:t>
      </w:r>
      <w:r>
        <w:rPr>
          <w:color w:val="231F20"/>
          <w:spacing w:val="-6"/>
        </w:rPr>
        <w:t> </w:t>
      </w:r>
      <w:r>
        <w:rPr>
          <w:color w:val="231F20"/>
        </w:rPr>
        <w:t>open</w:t>
      </w:r>
      <w:r>
        <w:rPr>
          <w:color w:val="231F20"/>
          <w:spacing w:val="-5"/>
        </w:rPr>
        <w:t> </w:t>
      </w:r>
      <w:r>
        <w:rPr>
          <w:color w:val="231F20"/>
        </w:rPr>
        <w:t>meetings</w:t>
      </w:r>
      <w:r>
        <w:rPr>
          <w:color w:val="231F20"/>
          <w:spacing w:val="-5"/>
        </w:rPr>
        <w:t> </w:t>
      </w:r>
      <w:r>
        <w:rPr>
          <w:color w:val="231F20"/>
        </w:rPr>
        <w:t>shall</w:t>
      </w:r>
      <w:r>
        <w:rPr>
          <w:color w:val="231F20"/>
          <w:spacing w:val="-5"/>
        </w:rPr>
        <w:t> </w:t>
      </w:r>
      <w:r>
        <w:rPr>
          <w:color w:val="231F20"/>
        </w:rPr>
        <w:t>record at least the following information:</w:t>
      </w:r>
    </w:p>
    <w:p>
      <w:pPr>
        <w:pStyle w:val="BodyText"/>
      </w:pPr>
    </w:p>
    <w:p>
      <w:pPr>
        <w:pStyle w:val="ListParagraph"/>
        <w:numPr>
          <w:ilvl w:val="1"/>
          <w:numId w:val="6"/>
        </w:numPr>
        <w:tabs>
          <w:tab w:pos="1160" w:val="left" w:leader="none"/>
        </w:tabs>
        <w:spacing w:line="240" w:lineRule="auto" w:before="0" w:after="0"/>
        <w:ind w:left="1159" w:right="0" w:hanging="325"/>
        <w:jc w:val="both"/>
        <w:rPr>
          <w:sz w:val="24"/>
        </w:rPr>
      </w:pPr>
      <w:r>
        <w:rPr>
          <w:color w:val="231F20"/>
          <w:sz w:val="24"/>
        </w:rPr>
        <w:t>the</w:t>
      </w:r>
      <w:r>
        <w:rPr>
          <w:color w:val="231F20"/>
          <w:spacing w:val="-6"/>
          <w:sz w:val="24"/>
        </w:rPr>
        <w:t> </w:t>
      </w:r>
      <w:r>
        <w:rPr>
          <w:color w:val="231F20"/>
          <w:sz w:val="24"/>
        </w:rPr>
        <w:t>date,</w:t>
      </w:r>
      <w:r>
        <w:rPr>
          <w:color w:val="231F20"/>
          <w:spacing w:val="-4"/>
          <w:sz w:val="24"/>
        </w:rPr>
        <w:t> </w:t>
      </w:r>
      <w:r>
        <w:rPr>
          <w:color w:val="231F20"/>
          <w:sz w:val="24"/>
        </w:rPr>
        <w:t>time</w:t>
      </w:r>
      <w:r>
        <w:rPr>
          <w:color w:val="231F20"/>
          <w:spacing w:val="-6"/>
          <w:sz w:val="24"/>
        </w:rPr>
        <w:t> </w:t>
      </w:r>
      <w:r>
        <w:rPr>
          <w:color w:val="231F20"/>
          <w:sz w:val="24"/>
        </w:rPr>
        <w:t>and</w:t>
      </w:r>
      <w:r>
        <w:rPr>
          <w:color w:val="231F20"/>
          <w:spacing w:val="-4"/>
          <w:sz w:val="24"/>
        </w:rPr>
        <w:t> </w:t>
      </w:r>
      <w:r>
        <w:rPr>
          <w:color w:val="231F20"/>
          <w:sz w:val="24"/>
        </w:rPr>
        <w:t>place</w:t>
      </w:r>
      <w:r>
        <w:rPr>
          <w:color w:val="231F20"/>
          <w:spacing w:val="-5"/>
          <w:sz w:val="24"/>
        </w:rPr>
        <w:t> </w:t>
      </w:r>
      <w:r>
        <w:rPr>
          <w:color w:val="231F20"/>
          <w:sz w:val="24"/>
        </w:rPr>
        <w:t>of</w:t>
      </w:r>
      <w:r>
        <w:rPr>
          <w:color w:val="231F20"/>
          <w:spacing w:val="-6"/>
          <w:sz w:val="24"/>
        </w:rPr>
        <w:t> </w:t>
      </w:r>
      <w:r>
        <w:rPr>
          <w:color w:val="231F20"/>
          <w:sz w:val="24"/>
        </w:rPr>
        <w:t>the</w:t>
      </w:r>
      <w:r>
        <w:rPr>
          <w:color w:val="231F20"/>
          <w:spacing w:val="-5"/>
          <w:sz w:val="24"/>
        </w:rPr>
        <w:t> </w:t>
      </w:r>
      <w:r>
        <w:rPr>
          <w:color w:val="231F20"/>
          <w:spacing w:val="-2"/>
          <w:sz w:val="24"/>
        </w:rPr>
        <w:t>meeting;</w:t>
      </w:r>
    </w:p>
    <w:p>
      <w:pPr>
        <w:pStyle w:val="ListParagraph"/>
        <w:numPr>
          <w:ilvl w:val="1"/>
          <w:numId w:val="6"/>
        </w:numPr>
        <w:tabs>
          <w:tab w:pos="1205" w:val="left" w:leader="none"/>
        </w:tabs>
        <w:spacing w:line="240" w:lineRule="auto" w:before="0" w:after="0"/>
        <w:ind w:left="1195" w:right="597" w:hanging="360"/>
        <w:jc w:val="both"/>
        <w:rPr>
          <w:color w:val="231F20"/>
          <w:sz w:val="24"/>
        </w:rPr>
      </w:pPr>
      <w:r>
        <w:rPr>
          <w:color w:val="231F20"/>
          <w:sz w:val="24"/>
        </w:rPr>
        <w:t>the</w:t>
      </w:r>
      <w:r>
        <w:rPr>
          <w:color w:val="231F20"/>
          <w:sz w:val="24"/>
        </w:rPr>
        <w:t> names of all members of the public body in attendance and a list of those members absent;</w:t>
      </w:r>
    </w:p>
    <w:p>
      <w:pPr>
        <w:pStyle w:val="ListParagraph"/>
        <w:numPr>
          <w:ilvl w:val="1"/>
          <w:numId w:val="6"/>
        </w:numPr>
        <w:tabs>
          <w:tab w:pos="1160" w:val="left" w:leader="none"/>
        </w:tabs>
        <w:spacing w:line="240" w:lineRule="auto" w:before="0" w:after="0"/>
        <w:ind w:left="1195" w:right="1216" w:hanging="360"/>
        <w:jc w:val="both"/>
        <w:rPr>
          <w:color w:val="231F20"/>
          <w:sz w:val="24"/>
        </w:rPr>
      </w:pPr>
      <w:r>
        <w:rPr>
          <w:color w:val="231F20"/>
          <w:sz w:val="24"/>
        </w:rPr>
        <w:t>a</w:t>
      </w:r>
      <w:r>
        <w:rPr>
          <w:color w:val="231F20"/>
          <w:spacing w:val="-9"/>
          <w:sz w:val="24"/>
        </w:rPr>
        <w:t> </w:t>
      </w:r>
      <w:r>
        <w:rPr>
          <w:color w:val="231F20"/>
          <w:sz w:val="24"/>
        </w:rPr>
        <w:t>statement</w:t>
      </w:r>
      <w:r>
        <w:rPr>
          <w:color w:val="231F20"/>
          <w:spacing w:val="-8"/>
          <w:sz w:val="24"/>
        </w:rPr>
        <w:t> </w:t>
      </w:r>
      <w:r>
        <w:rPr>
          <w:color w:val="231F20"/>
          <w:sz w:val="24"/>
        </w:rPr>
        <w:t>of</w:t>
      </w:r>
      <w:r>
        <w:rPr>
          <w:color w:val="231F20"/>
          <w:spacing w:val="-9"/>
          <w:sz w:val="24"/>
        </w:rPr>
        <w:t> </w:t>
      </w:r>
      <w:r>
        <w:rPr>
          <w:color w:val="231F20"/>
          <w:sz w:val="24"/>
        </w:rPr>
        <w:t>what</w:t>
      </w:r>
      <w:r>
        <w:rPr>
          <w:color w:val="231F20"/>
          <w:spacing w:val="-8"/>
          <w:sz w:val="24"/>
        </w:rPr>
        <w:t> </w:t>
      </w:r>
      <w:r>
        <w:rPr>
          <w:color w:val="231F20"/>
          <w:sz w:val="24"/>
        </w:rPr>
        <w:t>proposals</w:t>
      </w:r>
      <w:r>
        <w:rPr>
          <w:color w:val="231F20"/>
          <w:spacing w:val="-8"/>
          <w:sz w:val="24"/>
        </w:rPr>
        <w:t> </w:t>
      </w:r>
      <w:r>
        <w:rPr>
          <w:color w:val="231F20"/>
          <w:sz w:val="24"/>
        </w:rPr>
        <w:t>were considered; and</w:t>
      </w:r>
    </w:p>
    <w:p>
      <w:pPr>
        <w:pStyle w:val="ListParagraph"/>
        <w:numPr>
          <w:ilvl w:val="1"/>
          <w:numId w:val="6"/>
        </w:numPr>
        <w:tabs>
          <w:tab w:pos="1217" w:val="left" w:leader="none"/>
        </w:tabs>
        <w:spacing w:line="240" w:lineRule="auto" w:before="1" w:after="0"/>
        <w:ind w:left="1195" w:right="599" w:hanging="360"/>
        <w:jc w:val="both"/>
        <w:rPr>
          <w:color w:val="231F20"/>
          <w:sz w:val="24"/>
        </w:rPr>
      </w:pPr>
      <w:r>
        <w:rPr>
          <w:color w:val="231F20"/>
          <w:sz w:val="24"/>
        </w:rPr>
        <w:t>a</w:t>
      </w:r>
      <w:r>
        <w:rPr>
          <w:color w:val="231F20"/>
          <w:sz w:val="24"/>
        </w:rPr>
        <w:t> record</w:t>
      </w:r>
      <w:r>
        <w:rPr>
          <w:color w:val="231F20"/>
          <w:sz w:val="24"/>
        </w:rPr>
        <w:t> of</w:t>
      </w:r>
      <w:r>
        <w:rPr>
          <w:color w:val="231F20"/>
          <w:sz w:val="24"/>
        </w:rPr>
        <w:t> any</w:t>
      </w:r>
      <w:r>
        <w:rPr>
          <w:color w:val="231F20"/>
          <w:sz w:val="24"/>
        </w:rPr>
        <w:t> decisions made by the public body and of how each member </w:t>
      </w:r>
      <w:r>
        <w:rPr>
          <w:color w:val="231F20"/>
          <w:spacing w:val="-2"/>
          <w:sz w:val="24"/>
        </w:rPr>
        <w:t>voted.</w:t>
      </w:r>
    </w:p>
    <w:p>
      <w:pPr>
        <w:pStyle w:val="BodyText"/>
        <w:spacing w:before="11"/>
        <w:rPr>
          <w:sz w:val="23"/>
        </w:rPr>
      </w:pPr>
    </w:p>
    <w:p>
      <w:pPr>
        <w:pStyle w:val="BodyText"/>
        <w:ind w:left="475" w:right="599"/>
        <w:jc w:val="both"/>
      </w:pPr>
      <w:r>
        <w:rPr>
          <w:color w:val="231F20"/>
        </w:rPr>
        <w:t>This means that minutes must contain a description of the subject of all discussions had by the body, even if no action is taken or considered. The description may be a concise, but accurate, statement of the subject matter discussed and does not have to be a verbatim account of who said what. It may be useful, although it is not required, to also record in the minutes</w:t>
      </w:r>
      <w:r>
        <w:rPr>
          <w:color w:val="231F20"/>
          <w:spacing w:val="-5"/>
        </w:rPr>
        <w:t> </w:t>
      </w:r>
      <w:r>
        <w:rPr>
          <w:color w:val="231F20"/>
        </w:rPr>
        <w:t>the</w:t>
      </w:r>
      <w:r>
        <w:rPr>
          <w:color w:val="231F20"/>
          <w:spacing w:val="-6"/>
        </w:rPr>
        <w:t> </w:t>
      </w:r>
      <w:r>
        <w:rPr>
          <w:color w:val="231F20"/>
        </w:rPr>
        <w:t>other</w:t>
      </w:r>
      <w:r>
        <w:rPr>
          <w:color w:val="231F20"/>
          <w:spacing w:val="-4"/>
        </w:rPr>
        <w:t> </w:t>
      </w:r>
      <w:r>
        <w:rPr>
          <w:color w:val="231F20"/>
        </w:rPr>
        <w:t>persons</w:t>
      </w:r>
      <w:r>
        <w:rPr>
          <w:color w:val="231F20"/>
          <w:spacing w:val="-5"/>
        </w:rPr>
        <w:t> </w:t>
      </w:r>
      <w:r>
        <w:rPr>
          <w:color w:val="231F20"/>
        </w:rPr>
        <w:t>invited</w:t>
      </w:r>
      <w:r>
        <w:rPr>
          <w:color w:val="231F20"/>
          <w:spacing w:val="-5"/>
        </w:rPr>
        <w:t> </w:t>
      </w:r>
      <w:r>
        <w:rPr>
          <w:color w:val="231F20"/>
        </w:rPr>
        <w:t>or</w:t>
      </w:r>
      <w:r>
        <w:rPr>
          <w:color w:val="231F20"/>
          <w:spacing w:val="-6"/>
        </w:rPr>
        <w:t> </w:t>
      </w:r>
      <w:r>
        <w:rPr>
          <w:color w:val="231F20"/>
        </w:rPr>
        <w:t>present</w:t>
      </w:r>
      <w:r>
        <w:rPr>
          <w:color w:val="231F20"/>
          <w:spacing w:val="-3"/>
        </w:rPr>
        <w:t> </w:t>
      </w:r>
      <w:r>
        <w:rPr>
          <w:color w:val="231F20"/>
        </w:rPr>
        <w:t>who participate in the deliberations.</w:t>
      </w:r>
    </w:p>
    <w:p>
      <w:pPr>
        <w:pStyle w:val="BodyText"/>
        <w:spacing w:before="9"/>
        <w:rPr>
          <w:sz w:val="23"/>
        </w:rPr>
      </w:pPr>
    </w:p>
    <w:p>
      <w:pPr>
        <w:pStyle w:val="BodyText"/>
        <w:ind w:left="475" w:right="597"/>
        <w:jc w:val="both"/>
      </w:pPr>
      <w:r>
        <w:rPr>
          <w:color w:val="231F20"/>
        </w:rPr>
        <w:t>A draft copy of the minutes is required to </w:t>
      </w:r>
      <w:r>
        <w:rPr>
          <w:color w:val="231F20"/>
        </w:rPr>
        <w:t>be prepared within ten working</w:t>
      </w:r>
      <w:r>
        <w:rPr>
          <w:color w:val="231F20"/>
        </w:rPr>
        <w:t> days of the meeting. Draft copies of minutes must be available for public inspection and should clearly indicate on the draft that they are not the official minutes and are subject to approval by the public body.</w:t>
      </w:r>
    </w:p>
    <w:p>
      <w:pPr>
        <w:pStyle w:val="BodyText"/>
      </w:pPr>
    </w:p>
    <w:p>
      <w:pPr>
        <w:pStyle w:val="BodyText"/>
        <w:spacing w:before="1"/>
        <w:ind w:left="475" w:right="598"/>
        <w:jc w:val="both"/>
      </w:pPr>
      <w:r>
        <w:rPr>
          <w:color w:val="231F20"/>
        </w:rPr>
        <w:t>The public body must approve, amend or disapprove draft minutes at the next meeting of</w:t>
      </w:r>
      <w:r>
        <w:rPr>
          <w:color w:val="231F20"/>
          <w:spacing w:val="40"/>
        </w:rPr>
        <w:t> </w:t>
      </w:r>
      <w:r>
        <w:rPr>
          <w:color w:val="231F20"/>
        </w:rPr>
        <w:t>a quorum, and the minutes are not official until they are approved. Official</w:t>
      </w:r>
      <w:r>
        <w:rPr>
          <w:color w:val="231F20"/>
        </w:rPr>
        <w:t> minutes open to public</w:t>
      </w:r>
      <w:r>
        <w:rPr>
          <w:color w:val="231F20"/>
          <w:spacing w:val="13"/>
        </w:rPr>
        <w:t> </w:t>
      </w:r>
      <w:r>
        <w:rPr>
          <w:color w:val="231F20"/>
        </w:rPr>
        <w:t>inspection</w:t>
      </w:r>
      <w:r>
        <w:rPr>
          <w:color w:val="231F20"/>
          <w:spacing w:val="15"/>
        </w:rPr>
        <w:t> </w:t>
      </w:r>
      <w:r>
        <w:rPr>
          <w:color w:val="231F20"/>
        </w:rPr>
        <w:t>under</w:t>
      </w:r>
      <w:r>
        <w:rPr>
          <w:color w:val="231F20"/>
          <w:spacing w:val="14"/>
        </w:rPr>
        <w:t> </w:t>
      </w:r>
      <w:r>
        <w:rPr>
          <w:color w:val="231F20"/>
        </w:rPr>
        <w:t>this</w:t>
      </w:r>
      <w:r>
        <w:rPr>
          <w:color w:val="231F20"/>
          <w:spacing w:val="16"/>
        </w:rPr>
        <w:t> </w:t>
      </w:r>
      <w:r>
        <w:rPr>
          <w:color w:val="231F20"/>
        </w:rPr>
        <w:t>Subsection</w:t>
      </w:r>
      <w:r>
        <w:rPr>
          <w:color w:val="231F20"/>
          <w:spacing w:val="14"/>
        </w:rPr>
        <w:t> </w:t>
      </w:r>
      <w:r>
        <w:rPr>
          <w:color w:val="231F20"/>
        </w:rPr>
        <w:t>are</w:t>
      </w:r>
      <w:r>
        <w:rPr>
          <w:color w:val="231F20"/>
          <w:spacing w:val="14"/>
        </w:rPr>
        <w:t> </w:t>
      </w:r>
      <w:r>
        <w:rPr>
          <w:color w:val="231F20"/>
          <w:spacing w:val="-4"/>
        </w:rPr>
        <w:t>also</w:t>
      </w:r>
    </w:p>
    <w:p>
      <w:pPr>
        <w:spacing w:after="0"/>
        <w:jc w:val="both"/>
        <w:sectPr>
          <w:type w:val="continuous"/>
          <w:pgSz w:w="12240" w:h="15840"/>
          <w:pgMar w:header="660" w:footer="484" w:top="480" w:bottom="280" w:left="360" w:right="240"/>
          <w:cols w:num="2" w:equalWidth="0">
            <w:col w:w="5200" w:space="683"/>
            <w:col w:w="5757"/>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8"/>
        <w:jc w:val="both"/>
      </w:pPr>
      <w:r>
        <w:rPr>
          <w:color w:val="231F20"/>
        </w:rPr>
        <w:t>subject</w:t>
      </w:r>
      <w:r>
        <w:rPr>
          <w:color w:val="231F20"/>
          <w:spacing w:val="-1"/>
        </w:rPr>
        <w:t> </w:t>
      </w:r>
      <w:r>
        <w:rPr>
          <w:color w:val="231F20"/>
        </w:rPr>
        <w:t>to</w:t>
      </w:r>
      <w:r>
        <w:rPr>
          <w:color w:val="231F20"/>
          <w:spacing w:val="-2"/>
        </w:rPr>
        <w:t> </w:t>
      </w:r>
      <w:r>
        <w:rPr>
          <w:color w:val="231F20"/>
        </w:rPr>
        <w:t>public</w:t>
      </w:r>
      <w:r>
        <w:rPr>
          <w:color w:val="231F20"/>
          <w:spacing w:val="-3"/>
        </w:rPr>
        <w:t> </w:t>
      </w:r>
      <w:r>
        <w:rPr>
          <w:color w:val="231F20"/>
        </w:rPr>
        <w:t>inspection</w:t>
      </w:r>
      <w:r>
        <w:rPr>
          <w:color w:val="231F20"/>
          <w:spacing w:val="-2"/>
        </w:rPr>
        <w:t> </w:t>
      </w:r>
      <w:r>
        <w:rPr>
          <w:color w:val="231F20"/>
        </w:rPr>
        <w:t>under</w:t>
      </w:r>
      <w:r>
        <w:rPr>
          <w:color w:val="231F20"/>
          <w:spacing w:val="-2"/>
        </w:rPr>
        <w:t> </w:t>
      </w:r>
      <w:r>
        <w:rPr>
          <w:color w:val="231F20"/>
        </w:rPr>
        <w:t>the Inspection of Public Records Act, NMSA 1978, Sections 14-2-1 to -12.</w:t>
      </w:r>
    </w:p>
    <w:p>
      <w:pPr>
        <w:pStyle w:val="BodyText"/>
        <w:spacing w:before="11"/>
        <w:rPr>
          <w:sz w:val="23"/>
        </w:rPr>
      </w:pPr>
    </w:p>
    <w:p>
      <w:pPr>
        <w:spacing w:before="0"/>
        <w:ind w:left="475" w:right="0" w:firstLine="0"/>
        <w:jc w:val="both"/>
        <w:rPr>
          <w:i/>
          <w:sz w:val="24"/>
        </w:rPr>
      </w:pPr>
      <w:bookmarkStart w:name="Example 29:" w:id="96"/>
      <w:bookmarkEnd w:id="9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29:</w:t>
      </w:r>
    </w:p>
    <w:p>
      <w:pPr>
        <w:pStyle w:val="BodyText"/>
        <w:rPr>
          <w:i/>
        </w:rPr>
      </w:pPr>
    </w:p>
    <w:p>
      <w:pPr>
        <w:spacing w:before="0"/>
        <w:ind w:left="475" w:right="39" w:firstLine="0"/>
        <w:jc w:val="both"/>
        <w:rPr>
          <w:i/>
          <w:sz w:val="24"/>
        </w:rPr>
      </w:pPr>
      <w:r>
        <w:rPr>
          <w:i/>
          <w:color w:val="231F20"/>
          <w:sz w:val="24"/>
        </w:rPr>
        <w:t>A quorum of the members of a state commission</w:t>
      </w:r>
      <w:r>
        <w:rPr>
          <w:i/>
          <w:color w:val="231F20"/>
          <w:sz w:val="24"/>
        </w:rPr>
        <w:t> meet</w:t>
      </w:r>
      <w:r>
        <w:rPr>
          <w:i/>
          <w:color w:val="231F20"/>
          <w:spacing w:val="-5"/>
          <w:sz w:val="24"/>
        </w:rPr>
        <w:t> </w:t>
      </w:r>
      <w:r>
        <w:rPr>
          <w:i/>
          <w:color w:val="231F20"/>
          <w:sz w:val="24"/>
        </w:rPr>
        <w:t>with</w:t>
      </w:r>
      <w:r>
        <w:rPr>
          <w:i/>
          <w:color w:val="231F20"/>
          <w:spacing w:val="-5"/>
          <w:sz w:val="24"/>
        </w:rPr>
        <w:t> </w:t>
      </w:r>
      <w:r>
        <w:rPr>
          <w:i/>
          <w:color w:val="231F20"/>
          <w:sz w:val="24"/>
        </w:rPr>
        <w:t>the</w:t>
      </w:r>
      <w:r>
        <w:rPr>
          <w:i/>
          <w:color w:val="231F20"/>
          <w:spacing w:val="-4"/>
          <w:sz w:val="24"/>
        </w:rPr>
        <w:t> </w:t>
      </w:r>
      <w:r>
        <w:rPr>
          <w:i/>
          <w:color w:val="231F20"/>
          <w:sz w:val="24"/>
        </w:rPr>
        <w:t>commission’s</w:t>
      </w:r>
      <w:r>
        <w:rPr>
          <w:i/>
          <w:color w:val="231F20"/>
          <w:spacing w:val="-5"/>
          <w:sz w:val="24"/>
        </w:rPr>
        <w:t> </w:t>
      </w:r>
      <w:r>
        <w:rPr>
          <w:i/>
          <w:color w:val="231F20"/>
          <w:sz w:val="24"/>
        </w:rPr>
        <w:t>staff</w:t>
      </w:r>
      <w:r>
        <w:rPr>
          <w:i/>
          <w:color w:val="231F20"/>
          <w:spacing w:val="-5"/>
          <w:sz w:val="24"/>
        </w:rPr>
        <w:t> </w:t>
      </w:r>
      <w:r>
        <w:rPr>
          <w:i/>
          <w:color w:val="231F20"/>
          <w:sz w:val="24"/>
        </w:rPr>
        <w:t>to</w:t>
      </w:r>
      <w:r>
        <w:rPr>
          <w:i/>
          <w:color w:val="231F20"/>
          <w:spacing w:val="-5"/>
          <w:sz w:val="24"/>
        </w:rPr>
        <w:t> </w:t>
      </w:r>
      <w:r>
        <w:rPr>
          <w:i/>
          <w:color w:val="231F20"/>
          <w:sz w:val="24"/>
        </w:rPr>
        <w:t>discuss</w:t>
      </w:r>
      <w:r>
        <w:rPr>
          <w:i/>
          <w:color w:val="231F20"/>
          <w:spacing w:val="-5"/>
          <w:sz w:val="24"/>
        </w:rPr>
        <w:t> </w:t>
      </w:r>
      <w:r>
        <w:rPr>
          <w:i/>
          <w:color w:val="231F20"/>
          <w:sz w:val="24"/>
        </w:rPr>
        <w:t>some technical matters related to internal management. The matters discussed are not exempted by the Act from the open meetings requirement. The discussions conducted by a quorum of the commission constitute the discussion of public business and minutes must be kept.</w:t>
      </w:r>
    </w:p>
    <w:p>
      <w:pPr>
        <w:pStyle w:val="BodyText"/>
        <w:rPr>
          <w:i/>
        </w:rPr>
      </w:pPr>
    </w:p>
    <w:p>
      <w:pPr>
        <w:pStyle w:val="BodyText"/>
        <w:ind w:left="475"/>
      </w:pPr>
      <w:bookmarkStart w:name="Commentary" w:id="97"/>
      <w:bookmarkEnd w:id="97"/>
      <w:r>
        <w:rPr/>
      </w:r>
      <w:r>
        <w:rPr>
          <w:color w:val="231F20"/>
          <w:spacing w:val="-2"/>
          <w:u w:val="single" w:color="231F20"/>
        </w:rPr>
        <w:t>Commentary</w:t>
      </w:r>
    </w:p>
    <w:p>
      <w:pPr>
        <w:pStyle w:val="BodyText"/>
      </w:pPr>
    </w:p>
    <w:p>
      <w:pPr>
        <w:pStyle w:val="BodyText"/>
        <w:ind w:left="475" w:right="40"/>
        <w:jc w:val="both"/>
      </w:pPr>
      <w:r>
        <w:rPr>
          <w:color w:val="231F20"/>
        </w:rPr>
        <w:t>The statute’s requirement that the minutes</w:t>
      </w:r>
      <w:r>
        <w:rPr>
          <w:color w:val="231F20"/>
          <w:spacing w:val="40"/>
        </w:rPr>
        <w:t> </w:t>
      </w:r>
      <w:r>
        <w:rPr>
          <w:color w:val="231F20"/>
        </w:rPr>
        <w:t>record</w:t>
      </w:r>
      <w:r>
        <w:rPr>
          <w:color w:val="231F20"/>
        </w:rPr>
        <w:t> how</w:t>
      </w:r>
      <w:r>
        <w:rPr>
          <w:color w:val="231F20"/>
        </w:rPr>
        <w:t> the</w:t>
      </w:r>
      <w:r>
        <w:rPr>
          <w:color w:val="231F20"/>
        </w:rPr>
        <w:t> members voted on </w:t>
      </w:r>
      <w:r>
        <w:rPr>
          <w:color w:val="231F20"/>
        </w:rPr>
        <w:t>proposals does not require a roll call on each vote, providing the vote of each member may be ascertained.</w:t>
      </w:r>
      <w:r>
        <w:rPr>
          <w:color w:val="231F20"/>
          <w:spacing w:val="-3"/>
        </w:rPr>
        <w:t> </w:t>
      </w:r>
      <w:r>
        <w:rPr>
          <w:color w:val="231F20"/>
        </w:rPr>
        <w:t>Thus,</w:t>
      </w:r>
      <w:r>
        <w:rPr>
          <w:color w:val="231F20"/>
          <w:spacing w:val="-1"/>
        </w:rPr>
        <w:t> </w:t>
      </w:r>
      <w:r>
        <w:rPr>
          <w:color w:val="231F20"/>
        </w:rPr>
        <w:t>a</w:t>
      </w:r>
      <w:r>
        <w:rPr>
          <w:color w:val="231F20"/>
          <w:spacing w:val="-4"/>
        </w:rPr>
        <w:t> </w:t>
      </w:r>
      <w:r>
        <w:rPr>
          <w:color w:val="231F20"/>
        </w:rPr>
        <w:t>unanimous</w:t>
      </w:r>
      <w:r>
        <w:rPr>
          <w:color w:val="231F20"/>
          <w:spacing w:val="-3"/>
        </w:rPr>
        <w:t> </w:t>
      </w:r>
      <w:r>
        <w:rPr>
          <w:color w:val="231F20"/>
        </w:rPr>
        <w:t>vote</w:t>
      </w:r>
      <w:r>
        <w:rPr>
          <w:color w:val="231F20"/>
          <w:spacing w:val="-4"/>
        </w:rPr>
        <w:t> </w:t>
      </w:r>
      <w:r>
        <w:rPr>
          <w:color w:val="231F20"/>
        </w:rPr>
        <w:t>need</w:t>
      </w:r>
      <w:r>
        <w:rPr>
          <w:color w:val="231F20"/>
          <w:spacing w:val="-3"/>
        </w:rPr>
        <w:t> </w:t>
      </w:r>
      <w:r>
        <w:rPr>
          <w:color w:val="231F20"/>
        </w:rPr>
        <w:t>not</w:t>
      </w:r>
      <w:r>
        <w:rPr>
          <w:color w:val="231F20"/>
          <w:spacing w:val="-3"/>
        </w:rPr>
        <w:t> </w:t>
      </w:r>
      <w:r>
        <w:rPr>
          <w:color w:val="231F20"/>
        </w:rPr>
        <w:t>be recorded</w:t>
      </w:r>
      <w:r>
        <w:rPr>
          <w:color w:val="231F20"/>
          <w:spacing w:val="-4"/>
        </w:rPr>
        <w:t> </w:t>
      </w:r>
      <w:r>
        <w:rPr>
          <w:color w:val="231F20"/>
        </w:rPr>
        <w:t>by</w:t>
      </w:r>
      <w:r>
        <w:rPr>
          <w:color w:val="231F20"/>
          <w:spacing w:val="-9"/>
        </w:rPr>
        <w:t> </w:t>
      </w:r>
      <w:r>
        <w:rPr>
          <w:color w:val="231F20"/>
        </w:rPr>
        <w:t>listing</w:t>
      </w:r>
      <w:r>
        <w:rPr>
          <w:color w:val="231F20"/>
          <w:spacing w:val="-7"/>
        </w:rPr>
        <w:t> </w:t>
      </w:r>
      <w:r>
        <w:rPr>
          <w:color w:val="231F20"/>
        </w:rPr>
        <w:t>the</w:t>
      </w:r>
      <w:r>
        <w:rPr>
          <w:color w:val="231F20"/>
          <w:spacing w:val="-5"/>
        </w:rPr>
        <w:t> </w:t>
      </w:r>
      <w:r>
        <w:rPr>
          <w:color w:val="231F20"/>
        </w:rPr>
        <w:t>members.</w:t>
      </w:r>
      <w:r>
        <w:rPr>
          <w:color w:val="231F20"/>
          <w:spacing w:val="-4"/>
        </w:rPr>
        <w:t> </w:t>
      </w:r>
      <w:r>
        <w:rPr>
          <w:color w:val="231F20"/>
        </w:rPr>
        <w:t>Where</w:t>
      </w:r>
      <w:r>
        <w:rPr>
          <w:color w:val="231F20"/>
          <w:spacing w:val="-5"/>
        </w:rPr>
        <w:t> </w:t>
      </w:r>
      <w:r>
        <w:rPr>
          <w:color w:val="231F20"/>
        </w:rPr>
        <w:t>the</w:t>
      </w:r>
      <w:r>
        <w:rPr>
          <w:color w:val="231F20"/>
          <w:spacing w:val="-5"/>
        </w:rPr>
        <w:t> </w:t>
      </w:r>
      <w:r>
        <w:rPr>
          <w:color w:val="231F20"/>
        </w:rPr>
        <w:t>vote is not unanimous, minutes that state “four members in favor, Mr.</w:t>
      </w:r>
      <w:r>
        <w:rPr>
          <w:color w:val="231F20"/>
        </w:rPr>
        <w:t> Jones against the</w:t>
      </w:r>
      <w:r>
        <w:rPr>
          <w:color w:val="231F20"/>
          <w:spacing w:val="40"/>
        </w:rPr>
        <w:t> </w:t>
      </w:r>
      <w:r>
        <w:rPr>
          <w:color w:val="231F20"/>
        </w:rPr>
        <w:t>motion” adequately reflects how the members voted as long as the minutes also list the members in attendance. If a vote taken by roll call is required in a particular situation by the rules of parliamentary procedure or otherwise, the minutes should record the vote of each individual member. The Act’s requirement that the minutes show how each member voted on a matter decided by the public body precludes the members from voting anonymously.</w:t>
      </w:r>
    </w:p>
    <w:p>
      <w:pPr>
        <w:pStyle w:val="BodyText"/>
        <w:spacing w:before="10"/>
        <w:rPr>
          <w:sz w:val="23"/>
        </w:rPr>
      </w:pPr>
    </w:p>
    <w:p>
      <w:pPr>
        <w:spacing w:before="0"/>
        <w:ind w:left="475" w:right="0" w:firstLine="0"/>
        <w:jc w:val="left"/>
        <w:rPr>
          <w:i/>
          <w:sz w:val="24"/>
        </w:rPr>
      </w:pPr>
      <w:bookmarkStart w:name="Example 30:" w:id="98"/>
      <w:bookmarkEnd w:id="9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30:</w:t>
      </w:r>
    </w:p>
    <w:p>
      <w:pPr>
        <w:pStyle w:val="BodyText"/>
        <w:rPr>
          <w:i/>
        </w:rPr>
      </w:pPr>
    </w:p>
    <w:p>
      <w:pPr>
        <w:spacing w:before="0"/>
        <w:ind w:left="475" w:right="38" w:firstLine="0"/>
        <w:jc w:val="both"/>
        <w:rPr>
          <w:i/>
          <w:sz w:val="24"/>
        </w:rPr>
      </w:pPr>
      <w:r>
        <w:rPr>
          <w:i/>
          <w:color w:val="231F20"/>
          <w:sz w:val="24"/>
        </w:rPr>
        <w:t>At a regular open meeting, the State Astronomy</w:t>
      </w:r>
      <w:r>
        <w:rPr>
          <w:i/>
          <w:color w:val="231F20"/>
          <w:sz w:val="24"/>
        </w:rPr>
        <w:t> Board elects a chairperson. The members want to vote on the nominees by secret ballot. This is not</w:t>
      </w:r>
      <w:r>
        <w:rPr>
          <w:i/>
          <w:color w:val="231F20"/>
          <w:spacing w:val="-2"/>
          <w:sz w:val="24"/>
        </w:rPr>
        <w:t> </w:t>
      </w:r>
      <w:r>
        <w:rPr>
          <w:i/>
          <w:color w:val="231F20"/>
          <w:sz w:val="24"/>
        </w:rPr>
        <w:t>allowed</w:t>
      </w:r>
      <w:r>
        <w:rPr>
          <w:i/>
          <w:color w:val="231F20"/>
          <w:spacing w:val="-2"/>
          <w:sz w:val="24"/>
        </w:rPr>
        <w:t> </w:t>
      </w:r>
      <w:r>
        <w:rPr>
          <w:i/>
          <w:color w:val="231F20"/>
          <w:sz w:val="24"/>
        </w:rPr>
        <w:t>by</w:t>
      </w:r>
      <w:r>
        <w:rPr>
          <w:i/>
          <w:color w:val="231F20"/>
          <w:spacing w:val="-3"/>
          <w:sz w:val="24"/>
        </w:rPr>
        <w:t> </w:t>
      </w:r>
      <w:r>
        <w:rPr>
          <w:i/>
          <w:color w:val="231F20"/>
          <w:sz w:val="24"/>
        </w:rPr>
        <w:t>the</w:t>
      </w:r>
      <w:r>
        <w:rPr>
          <w:i/>
          <w:color w:val="231F20"/>
          <w:spacing w:val="-1"/>
          <w:sz w:val="24"/>
        </w:rPr>
        <w:t> </w:t>
      </w:r>
      <w:r>
        <w:rPr>
          <w:i/>
          <w:color w:val="231F20"/>
          <w:sz w:val="24"/>
        </w:rPr>
        <w:t>Act because</w:t>
      </w:r>
      <w:r>
        <w:rPr>
          <w:i/>
          <w:color w:val="231F20"/>
          <w:spacing w:val="-3"/>
          <w:sz w:val="24"/>
        </w:rPr>
        <w:t> </w:t>
      </w:r>
      <w:r>
        <w:rPr>
          <w:i/>
          <w:color w:val="231F20"/>
          <w:sz w:val="24"/>
        </w:rPr>
        <w:t>the</w:t>
      </w:r>
      <w:r>
        <w:rPr>
          <w:i/>
          <w:color w:val="231F20"/>
          <w:spacing w:val="-1"/>
          <w:sz w:val="24"/>
        </w:rPr>
        <w:t> </w:t>
      </w:r>
      <w:r>
        <w:rPr>
          <w:i/>
          <w:color w:val="231F20"/>
          <w:sz w:val="24"/>
        </w:rPr>
        <w:t>minutes must reflect how each member voted.</w:t>
      </w:r>
    </w:p>
    <w:p>
      <w:pPr>
        <w:pStyle w:val="BodyText"/>
        <w:spacing w:before="6"/>
        <w:rPr>
          <w:i/>
        </w:rPr>
      </w:pPr>
    </w:p>
    <w:p>
      <w:pPr>
        <w:pStyle w:val="Heading2"/>
        <w:numPr>
          <w:ilvl w:val="0"/>
          <w:numId w:val="6"/>
        </w:numPr>
        <w:tabs>
          <w:tab w:pos="833" w:val="left" w:leader="none"/>
        </w:tabs>
        <w:spacing w:line="240" w:lineRule="auto" w:before="0" w:after="0"/>
        <w:ind w:left="832" w:right="0" w:hanging="358"/>
        <w:jc w:val="left"/>
      </w:pPr>
      <w:bookmarkStart w:name="_TOC_250012" w:id="99"/>
      <w:bookmarkStart w:name="H. Exceptions" w:id="100"/>
      <w:r>
        <w:rPr>
          <w:color w:val="231F20"/>
          <w:spacing w:val="-2"/>
        </w:rPr>
        <w:t>E</w:t>
      </w:r>
      <w:bookmarkEnd w:id="99"/>
      <w:r>
        <w:rPr>
          <w:color w:val="231F20"/>
          <w:spacing w:val="-2"/>
        </w:rPr>
        <w:t>xceptions</w:t>
      </w:r>
    </w:p>
    <w:p>
      <w:pPr>
        <w:pStyle w:val="BodyText"/>
        <w:rPr>
          <w:b/>
          <w:sz w:val="28"/>
        </w:rPr>
      </w:pPr>
    </w:p>
    <w:p>
      <w:pPr>
        <w:spacing w:before="1"/>
        <w:ind w:left="475" w:right="0" w:firstLine="0"/>
        <w:jc w:val="left"/>
        <w:rPr>
          <w:b/>
          <w:sz w:val="24"/>
        </w:rPr>
      </w:pPr>
      <w:bookmarkStart w:name="The Law" w:id="101"/>
      <w:bookmarkEnd w:id="101"/>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spacing w:before="94"/>
        <w:ind w:left="475" w:right="600" w:firstLine="0"/>
        <w:jc w:val="left"/>
        <w:rPr>
          <w:b/>
          <w:sz w:val="24"/>
        </w:rPr>
      </w:pPr>
      <w:r>
        <w:rPr/>
        <w:br w:type="column"/>
      </w:r>
      <w:r>
        <w:rPr>
          <w:b/>
          <w:color w:val="231F20"/>
          <w:sz w:val="24"/>
        </w:rPr>
        <w:t>The provisions of Subsections A, B and G of </w:t>
      </w:r>
      <w:bookmarkStart w:name="Commentary" w:id="102"/>
      <w:bookmarkEnd w:id="102"/>
      <w:r>
        <w:rPr>
          <w:b/>
          <w:color w:val="231F20"/>
          <w:sz w:val="24"/>
        </w:rPr>
        <w:t>t</w:t>
      </w:r>
      <w:r>
        <w:rPr>
          <w:b/>
          <w:color w:val="231F20"/>
          <w:sz w:val="24"/>
        </w:rPr>
        <w:t>his section do not apply to...</w:t>
      </w:r>
    </w:p>
    <w:p>
      <w:pPr>
        <w:pStyle w:val="BodyText"/>
        <w:spacing w:line="271" w:lineRule="exact"/>
        <w:ind w:left="475"/>
      </w:pPr>
      <w:r>
        <w:rPr>
          <w:color w:val="231F20"/>
          <w:spacing w:val="-2"/>
          <w:u w:val="single" w:color="231F20"/>
        </w:rPr>
        <w:t>Commentary</w:t>
      </w:r>
    </w:p>
    <w:p>
      <w:pPr>
        <w:pStyle w:val="BodyText"/>
      </w:pPr>
    </w:p>
    <w:p>
      <w:pPr>
        <w:pStyle w:val="BodyText"/>
        <w:ind w:left="475" w:right="595"/>
        <w:jc w:val="both"/>
      </w:pPr>
      <w:r>
        <w:rPr>
          <w:color w:val="231F20"/>
        </w:rPr>
        <w:t>Subsection H prescribes the circumstances</w:t>
      </w:r>
      <w:r>
        <w:rPr>
          <w:color w:val="231F20"/>
          <w:spacing w:val="40"/>
        </w:rPr>
        <w:t> </w:t>
      </w:r>
      <w:r>
        <w:rPr>
          <w:color w:val="231F20"/>
        </w:rPr>
        <w:t>under which certain meetings or portions of meetings are not subject to the open meetings and minute-taking requirements of the Open Meetings Act. Because the basic policy established</w:t>
      </w:r>
      <w:r>
        <w:rPr>
          <w:color w:val="231F20"/>
          <w:spacing w:val="-1"/>
        </w:rPr>
        <w:t> </w:t>
      </w:r>
      <w:r>
        <w:rPr>
          <w:color w:val="231F20"/>
        </w:rPr>
        <w:t>by</w:t>
      </w:r>
      <w:r>
        <w:rPr>
          <w:color w:val="231F20"/>
          <w:spacing w:val="-5"/>
        </w:rPr>
        <w:t> </w:t>
      </w:r>
      <w:r>
        <w:rPr>
          <w:color w:val="231F20"/>
        </w:rPr>
        <w:t>the</w:t>
      </w:r>
      <w:r>
        <w:rPr>
          <w:color w:val="231F20"/>
          <w:spacing w:val="-2"/>
        </w:rPr>
        <w:t> </w:t>
      </w:r>
      <w:r>
        <w:rPr>
          <w:color w:val="231F20"/>
        </w:rPr>
        <w:t>Act favors open</w:t>
      </w:r>
      <w:r>
        <w:rPr>
          <w:color w:val="231F20"/>
          <w:spacing w:val="-1"/>
        </w:rPr>
        <w:t> </w:t>
      </w:r>
      <w:r>
        <w:rPr>
          <w:color w:val="231F20"/>
        </w:rPr>
        <w:t>meetings,</w:t>
      </w:r>
      <w:r>
        <w:rPr>
          <w:color w:val="231F20"/>
          <w:spacing w:val="-1"/>
        </w:rPr>
        <w:t> </w:t>
      </w:r>
      <w:r>
        <w:rPr>
          <w:color w:val="231F20"/>
        </w:rPr>
        <w:t>the Act</w:t>
      </w:r>
      <w:r>
        <w:rPr>
          <w:color w:val="231F20"/>
          <w:spacing w:val="-2"/>
        </w:rPr>
        <w:t> </w:t>
      </w:r>
      <w:r>
        <w:rPr>
          <w:color w:val="231F20"/>
        </w:rPr>
        <w:t>must</w:t>
      </w:r>
      <w:r>
        <w:rPr>
          <w:color w:val="231F20"/>
          <w:spacing w:val="-2"/>
        </w:rPr>
        <w:t> </w:t>
      </w:r>
      <w:r>
        <w:rPr>
          <w:color w:val="231F20"/>
        </w:rPr>
        <w:t>be</w:t>
      </w:r>
      <w:r>
        <w:rPr>
          <w:color w:val="231F20"/>
          <w:spacing w:val="-3"/>
        </w:rPr>
        <w:t> </w:t>
      </w:r>
      <w:r>
        <w:rPr>
          <w:color w:val="231F20"/>
        </w:rPr>
        <w:t>strictly</w:t>
      </w:r>
      <w:r>
        <w:rPr>
          <w:color w:val="231F20"/>
          <w:spacing w:val="-7"/>
        </w:rPr>
        <w:t> </w:t>
      </w:r>
      <w:r>
        <w:rPr>
          <w:color w:val="231F20"/>
        </w:rPr>
        <w:t>followed</w:t>
      </w:r>
      <w:r>
        <w:rPr>
          <w:color w:val="231F20"/>
          <w:spacing w:val="-2"/>
        </w:rPr>
        <w:t> </w:t>
      </w:r>
      <w:r>
        <w:rPr>
          <w:color w:val="231F20"/>
        </w:rPr>
        <w:t>when meetings</w:t>
      </w:r>
      <w:r>
        <w:rPr>
          <w:color w:val="231F20"/>
          <w:spacing w:val="-2"/>
        </w:rPr>
        <w:t> </w:t>
      </w:r>
      <w:r>
        <w:rPr>
          <w:color w:val="231F20"/>
        </w:rPr>
        <w:t>are to be closed. As a general rule, meetings may only</w:t>
      </w:r>
      <w:r>
        <w:rPr>
          <w:color w:val="231F20"/>
          <w:spacing w:val="-2"/>
        </w:rPr>
        <w:t> </w:t>
      </w:r>
      <w:r>
        <w:rPr>
          <w:color w:val="231F20"/>
        </w:rPr>
        <w:t>be closed when the matter to be considered falls within one of the enumerated exceptions defined</w:t>
      </w:r>
      <w:r>
        <w:rPr>
          <w:color w:val="231F20"/>
          <w:spacing w:val="-2"/>
        </w:rPr>
        <w:t> </w:t>
      </w:r>
      <w:r>
        <w:rPr>
          <w:color w:val="231F20"/>
        </w:rPr>
        <w:t>in</w:t>
      </w:r>
      <w:r>
        <w:rPr>
          <w:color w:val="231F20"/>
          <w:spacing w:val="-2"/>
        </w:rPr>
        <w:t> </w:t>
      </w:r>
      <w:r>
        <w:rPr>
          <w:color w:val="231F20"/>
        </w:rPr>
        <w:t>the</w:t>
      </w:r>
      <w:r>
        <w:rPr>
          <w:color w:val="231F20"/>
          <w:spacing w:val="-3"/>
        </w:rPr>
        <w:t> </w:t>
      </w:r>
      <w:r>
        <w:rPr>
          <w:color w:val="231F20"/>
        </w:rPr>
        <w:t>Act and</w:t>
      </w:r>
      <w:r>
        <w:rPr>
          <w:color w:val="231F20"/>
          <w:spacing w:val="-2"/>
        </w:rPr>
        <w:t> </w:t>
      </w:r>
      <w:r>
        <w:rPr>
          <w:color w:val="231F20"/>
        </w:rPr>
        <w:t>discussed</w:t>
      </w:r>
      <w:r>
        <w:rPr>
          <w:color w:val="231F20"/>
          <w:spacing w:val="-2"/>
        </w:rPr>
        <w:t> </w:t>
      </w:r>
      <w:r>
        <w:rPr>
          <w:color w:val="231F20"/>
        </w:rPr>
        <w:t>in</w:t>
      </w:r>
      <w:r>
        <w:rPr>
          <w:color w:val="231F20"/>
          <w:spacing w:val="-2"/>
        </w:rPr>
        <w:t> </w:t>
      </w:r>
      <w:r>
        <w:rPr>
          <w:color w:val="231F20"/>
        </w:rPr>
        <w:t>detail</w:t>
      </w:r>
      <w:r>
        <w:rPr>
          <w:color w:val="231F20"/>
          <w:spacing w:val="-2"/>
        </w:rPr>
        <w:t> below.</w:t>
      </w:r>
    </w:p>
    <w:p>
      <w:pPr>
        <w:pStyle w:val="BodyText"/>
      </w:pPr>
    </w:p>
    <w:p>
      <w:pPr>
        <w:pStyle w:val="BodyText"/>
        <w:spacing w:before="1"/>
        <w:ind w:left="475" w:right="599"/>
        <w:jc w:val="both"/>
      </w:pPr>
      <w:r>
        <w:rPr>
          <w:color w:val="231F20"/>
        </w:rPr>
        <w:t>A few closures may</w:t>
      </w:r>
      <w:r>
        <w:rPr>
          <w:color w:val="231F20"/>
          <w:spacing w:val="-4"/>
        </w:rPr>
        <w:t> </w:t>
      </w:r>
      <w:r>
        <w:rPr>
          <w:color w:val="231F20"/>
        </w:rPr>
        <w:t>be</w:t>
      </w:r>
      <w:r>
        <w:rPr>
          <w:color w:val="231F20"/>
          <w:spacing w:val="-1"/>
        </w:rPr>
        <w:t> </w:t>
      </w:r>
      <w:r>
        <w:rPr>
          <w:color w:val="231F20"/>
        </w:rPr>
        <w:t>implied from or required by other laws or constitutional principles that specifically or necessarily</w:t>
      </w:r>
      <w:r>
        <w:rPr>
          <w:color w:val="231F20"/>
        </w:rPr>
        <w:t> preserve the confidentiality of certain information. Aside from these limited circumstances, however, no exception to the Open Meetings Act can be implied. The following examples illustrate such </w:t>
      </w:r>
      <w:r>
        <w:rPr>
          <w:color w:val="231F20"/>
          <w:spacing w:val="-2"/>
        </w:rPr>
        <w:t>laws.</w:t>
      </w:r>
    </w:p>
    <w:p>
      <w:pPr>
        <w:pStyle w:val="BodyText"/>
      </w:pPr>
    </w:p>
    <w:p>
      <w:pPr>
        <w:spacing w:before="0"/>
        <w:ind w:left="475" w:right="0" w:firstLine="0"/>
        <w:jc w:val="both"/>
        <w:rPr>
          <w:i/>
          <w:sz w:val="24"/>
        </w:rPr>
      </w:pPr>
      <w:bookmarkStart w:name="Example 31:" w:id="103"/>
      <w:bookmarkEnd w:id="10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31:</w:t>
      </w:r>
    </w:p>
    <w:p>
      <w:pPr>
        <w:pStyle w:val="BodyText"/>
        <w:rPr>
          <w:i/>
        </w:rPr>
      </w:pPr>
    </w:p>
    <w:p>
      <w:pPr>
        <w:spacing w:line="240" w:lineRule="auto" w:before="0"/>
        <w:ind w:left="475" w:right="597" w:firstLine="0"/>
        <w:jc w:val="both"/>
        <w:rPr>
          <w:i/>
          <w:sz w:val="24"/>
        </w:rPr>
      </w:pPr>
      <w:r>
        <w:rPr>
          <w:i/>
          <w:color w:val="231F20"/>
          <w:sz w:val="24"/>
        </w:rPr>
        <w:t>Section 12-6-5 of the Audit Act provides that an</w:t>
      </w:r>
      <w:r>
        <w:rPr>
          <w:i/>
          <w:color w:val="231F20"/>
          <w:sz w:val="24"/>
        </w:rPr>
        <w:t> audit report does not become a public record, i.e., subject to public inspection, until five days after the auditor releases it to the audited agency. Where the agency being audited is governed by a public body subject to the Open Meetings Act and where release of the report occurs at an exit conference at which a quorum of the members of the body is present, such exit conference need not be open to the public in order to preserve the confidentiality of the information protected by Section 12-6-5.</w:t>
      </w:r>
    </w:p>
    <w:p>
      <w:pPr>
        <w:pStyle w:val="BodyText"/>
        <w:spacing w:before="9"/>
        <w:rPr>
          <w:i/>
          <w:sz w:val="23"/>
        </w:rPr>
      </w:pPr>
    </w:p>
    <w:p>
      <w:pPr>
        <w:spacing w:before="0"/>
        <w:ind w:left="475" w:right="0" w:firstLine="0"/>
        <w:jc w:val="both"/>
        <w:rPr>
          <w:i/>
          <w:sz w:val="24"/>
        </w:rPr>
      </w:pPr>
      <w:bookmarkStart w:name="Example 32:" w:id="104"/>
      <w:bookmarkEnd w:id="10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32:</w:t>
      </w:r>
    </w:p>
    <w:p>
      <w:pPr>
        <w:pStyle w:val="BodyText"/>
        <w:rPr>
          <w:i/>
        </w:rPr>
      </w:pPr>
    </w:p>
    <w:p>
      <w:pPr>
        <w:spacing w:before="0"/>
        <w:ind w:left="475" w:right="597" w:firstLine="0"/>
        <w:jc w:val="both"/>
        <w:rPr>
          <w:i/>
          <w:sz w:val="24"/>
        </w:rPr>
      </w:pPr>
      <w:r>
        <w:rPr>
          <w:i/>
          <w:color w:val="231F20"/>
          <w:sz w:val="24"/>
        </w:rPr>
        <w:t>Section 61-1-7 of the Uniform Licensing Act</w:t>
      </w:r>
      <w:r>
        <w:rPr>
          <w:i/>
          <w:color w:val="231F20"/>
          <w:sz w:val="24"/>
        </w:rPr>
        <w:t> provides that hearings generally shall be open</w:t>
      </w:r>
      <w:r>
        <w:rPr>
          <w:i/>
          <w:color w:val="231F20"/>
          <w:spacing w:val="40"/>
          <w:sz w:val="24"/>
        </w:rPr>
        <w:t> </w:t>
      </w:r>
      <w:r>
        <w:rPr>
          <w:i/>
          <w:color w:val="231F20"/>
          <w:sz w:val="24"/>
        </w:rPr>
        <w:t>to</w:t>
      </w:r>
      <w:r>
        <w:rPr>
          <w:i/>
          <w:color w:val="231F20"/>
          <w:spacing w:val="-2"/>
          <w:sz w:val="24"/>
        </w:rPr>
        <w:t> </w:t>
      </w:r>
      <w:r>
        <w:rPr>
          <w:i/>
          <w:color w:val="231F20"/>
          <w:sz w:val="24"/>
        </w:rPr>
        <w:t>the</w:t>
      </w:r>
      <w:r>
        <w:rPr>
          <w:i/>
          <w:color w:val="231F20"/>
          <w:spacing w:val="-3"/>
          <w:sz w:val="24"/>
        </w:rPr>
        <w:t> </w:t>
      </w:r>
      <w:r>
        <w:rPr>
          <w:i/>
          <w:color w:val="231F20"/>
          <w:sz w:val="24"/>
        </w:rPr>
        <w:t>public,</w:t>
      </w:r>
      <w:r>
        <w:rPr>
          <w:i/>
          <w:color w:val="231F20"/>
          <w:spacing w:val="-2"/>
          <w:sz w:val="24"/>
        </w:rPr>
        <w:t> </w:t>
      </w:r>
      <w:r>
        <w:rPr>
          <w:i/>
          <w:color w:val="231F20"/>
          <w:sz w:val="24"/>
        </w:rPr>
        <w:t>but</w:t>
      </w:r>
      <w:r>
        <w:rPr>
          <w:i/>
          <w:color w:val="231F20"/>
          <w:spacing w:val="-4"/>
          <w:sz w:val="24"/>
        </w:rPr>
        <w:t> </w:t>
      </w:r>
      <w:r>
        <w:rPr>
          <w:i/>
          <w:color w:val="231F20"/>
          <w:sz w:val="24"/>
        </w:rPr>
        <w:t>gives</w:t>
      </w:r>
      <w:r>
        <w:rPr>
          <w:i/>
          <w:color w:val="231F20"/>
          <w:spacing w:val="-2"/>
          <w:sz w:val="24"/>
        </w:rPr>
        <w:t> </w:t>
      </w:r>
      <w:r>
        <w:rPr>
          <w:i/>
          <w:color w:val="231F20"/>
          <w:sz w:val="24"/>
        </w:rPr>
        <w:t>a</w:t>
      </w:r>
      <w:r>
        <w:rPr>
          <w:i/>
          <w:color w:val="231F20"/>
          <w:spacing w:val="-4"/>
          <w:sz w:val="24"/>
        </w:rPr>
        <w:t> </w:t>
      </w:r>
      <w:r>
        <w:rPr>
          <w:i/>
          <w:color w:val="231F20"/>
          <w:sz w:val="24"/>
        </w:rPr>
        <w:t>board</w:t>
      </w:r>
      <w:r>
        <w:rPr>
          <w:i/>
          <w:color w:val="231F20"/>
          <w:spacing w:val="-2"/>
          <w:sz w:val="24"/>
        </w:rPr>
        <w:t> </w:t>
      </w:r>
      <w:r>
        <w:rPr>
          <w:i/>
          <w:color w:val="231F20"/>
          <w:sz w:val="24"/>
        </w:rPr>
        <w:t>authority</w:t>
      </w:r>
      <w:r>
        <w:rPr>
          <w:i/>
          <w:color w:val="231F20"/>
          <w:spacing w:val="-3"/>
          <w:sz w:val="24"/>
        </w:rPr>
        <w:t> </w:t>
      </w:r>
      <w:r>
        <w:rPr>
          <w:i/>
          <w:color w:val="231F20"/>
          <w:sz w:val="24"/>
        </w:rPr>
        <w:t>to</w:t>
      </w:r>
      <w:r>
        <w:rPr>
          <w:i/>
          <w:color w:val="231F20"/>
          <w:spacing w:val="-4"/>
          <w:sz w:val="24"/>
        </w:rPr>
        <w:t> </w:t>
      </w:r>
      <w:r>
        <w:rPr>
          <w:i/>
          <w:color w:val="231F20"/>
          <w:sz w:val="24"/>
        </w:rPr>
        <w:t>hold a closed hearing “in cases in which </w:t>
      </w:r>
      <w:r>
        <w:rPr>
          <w:i/>
          <w:color w:val="231F20"/>
          <w:sz w:val="24"/>
        </w:rPr>
        <w:t>any constitutional</w:t>
      </w:r>
      <w:r>
        <w:rPr>
          <w:i/>
          <w:color w:val="231F20"/>
          <w:spacing w:val="-3"/>
          <w:sz w:val="24"/>
        </w:rPr>
        <w:t> </w:t>
      </w:r>
      <w:r>
        <w:rPr>
          <w:i/>
          <w:color w:val="231F20"/>
          <w:sz w:val="24"/>
        </w:rPr>
        <w:t>right</w:t>
      </w:r>
      <w:r>
        <w:rPr>
          <w:i/>
          <w:color w:val="231F20"/>
          <w:spacing w:val="-3"/>
          <w:sz w:val="24"/>
        </w:rPr>
        <w:t> </w:t>
      </w:r>
      <w:r>
        <w:rPr>
          <w:i/>
          <w:color w:val="231F20"/>
          <w:sz w:val="24"/>
        </w:rPr>
        <w:t>of</w:t>
      </w:r>
      <w:r>
        <w:rPr>
          <w:i/>
          <w:color w:val="231F20"/>
          <w:spacing w:val="-3"/>
          <w:sz w:val="24"/>
        </w:rPr>
        <w:t> </w:t>
      </w:r>
      <w:r>
        <w:rPr>
          <w:i/>
          <w:color w:val="231F20"/>
          <w:sz w:val="24"/>
        </w:rPr>
        <w:t>privacy</w:t>
      </w:r>
      <w:r>
        <w:rPr>
          <w:i/>
          <w:color w:val="231F20"/>
          <w:spacing w:val="-4"/>
          <w:sz w:val="24"/>
        </w:rPr>
        <w:t> </w:t>
      </w:r>
      <w:r>
        <w:rPr>
          <w:i/>
          <w:color w:val="231F20"/>
          <w:sz w:val="24"/>
        </w:rPr>
        <w:t>of</w:t>
      </w:r>
      <w:r>
        <w:rPr>
          <w:i/>
          <w:color w:val="231F20"/>
          <w:spacing w:val="-2"/>
          <w:sz w:val="24"/>
        </w:rPr>
        <w:t> </w:t>
      </w:r>
      <w:r>
        <w:rPr>
          <w:i/>
          <w:color w:val="231F20"/>
          <w:sz w:val="24"/>
        </w:rPr>
        <w:t>an</w:t>
      </w:r>
      <w:r>
        <w:rPr>
          <w:i/>
          <w:color w:val="231F20"/>
          <w:spacing w:val="-1"/>
          <w:sz w:val="24"/>
        </w:rPr>
        <w:t> </w:t>
      </w:r>
      <w:r>
        <w:rPr>
          <w:i/>
          <w:color w:val="231F20"/>
          <w:sz w:val="24"/>
        </w:rPr>
        <w:t>applicant</w:t>
      </w:r>
      <w:r>
        <w:rPr>
          <w:i/>
          <w:color w:val="231F20"/>
          <w:spacing w:val="-3"/>
          <w:sz w:val="24"/>
        </w:rPr>
        <w:t> </w:t>
      </w:r>
      <w:r>
        <w:rPr>
          <w:i/>
          <w:color w:val="231F20"/>
          <w:sz w:val="24"/>
        </w:rPr>
        <w:t>or licensee may be irreparably damaged ... if the board</w:t>
      </w:r>
      <w:r>
        <w:rPr>
          <w:i/>
          <w:color w:val="231F20"/>
          <w:spacing w:val="36"/>
          <w:sz w:val="24"/>
        </w:rPr>
        <w:t> </w:t>
      </w:r>
      <w:r>
        <w:rPr>
          <w:i/>
          <w:color w:val="231F20"/>
          <w:sz w:val="24"/>
        </w:rPr>
        <w:t>...</w:t>
      </w:r>
      <w:r>
        <w:rPr>
          <w:i/>
          <w:color w:val="231F20"/>
          <w:spacing w:val="38"/>
          <w:sz w:val="24"/>
        </w:rPr>
        <w:t> </w:t>
      </w:r>
      <w:r>
        <w:rPr>
          <w:i/>
          <w:color w:val="231F20"/>
          <w:sz w:val="24"/>
        </w:rPr>
        <w:t>so</w:t>
      </w:r>
      <w:r>
        <w:rPr>
          <w:i/>
          <w:color w:val="231F20"/>
          <w:spacing w:val="38"/>
          <w:sz w:val="24"/>
        </w:rPr>
        <w:t> </w:t>
      </w:r>
      <w:r>
        <w:rPr>
          <w:i/>
          <w:color w:val="231F20"/>
          <w:sz w:val="24"/>
        </w:rPr>
        <w:t>desires</w:t>
      </w:r>
      <w:r>
        <w:rPr>
          <w:i/>
          <w:color w:val="231F20"/>
          <w:spacing w:val="39"/>
          <w:sz w:val="24"/>
        </w:rPr>
        <w:t> </w:t>
      </w:r>
      <w:r>
        <w:rPr>
          <w:i/>
          <w:color w:val="231F20"/>
          <w:sz w:val="24"/>
        </w:rPr>
        <w:t>and</w:t>
      </w:r>
      <w:r>
        <w:rPr>
          <w:i/>
          <w:color w:val="231F20"/>
          <w:spacing w:val="38"/>
          <w:sz w:val="24"/>
        </w:rPr>
        <w:t> </w:t>
      </w:r>
      <w:r>
        <w:rPr>
          <w:i/>
          <w:color w:val="231F20"/>
          <w:sz w:val="24"/>
        </w:rPr>
        <w:t>states</w:t>
      </w:r>
      <w:r>
        <w:rPr>
          <w:i/>
          <w:color w:val="231F20"/>
          <w:spacing w:val="38"/>
          <w:sz w:val="24"/>
        </w:rPr>
        <w:t> </w:t>
      </w:r>
      <w:r>
        <w:rPr>
          <w:i/>
          <w:color w:val="231F20"/>
          <w:sz w:val="24"/>
        </w:rPr>
        <w:t>the</w:t>
      </w:r>
      <w:r>
        <w:rPr>
          <w:i/>
          <w:color w:val="231F20"/>
          <w:spacing w:val="38"/>
          <w:sz w:val="24"/>
        </w:rPr>
        <w:t> </w:t>
      </w:r>
      <w:r>
        <w:rPr>
          <w:i/>
          <w:color w:val="231F20"/>
          <w:sz w:val="24"/>
        </w:rPr>
        <w:t>reasons</w:t>
      </w:r>
      <w:r>
        <w:rPr>
          <w:i/>
          <w:color w:val="231F20"/>
          <w:spacing w:val="39"/>
          <w:sz w:val="24"/>
        </w:rPr>
        <w:t> </w:t>
      </w:r>
      <w:r>
        <w:rPr>
          <w:i/>
          <w:color w:val="231F20"/>
          <w:spacing w:val="-5"/>
          <w:sz w:val="24"/>
        </w:rPr>
        <w:t>for</w:t>
      </w:r>
    </w:p>
    <w:p>
      <w:pPr>
        <w:spacing w:after="0"/>
        <w:jc w:val="both"/>
        <w:rPr>
          <w:sz w:val="24"/>
        </w:rPr>
        <w:sectPr>
          <w:type w:val="continuous"/>
          <w:pgSz w:w="12240" w:h="15840"/>
          <w:pgMar w:header="660" w:footer="484" w:top="480" w:bottom="280" w:left="360" w:right="240"/>
          <w:cols w:num="2" w:equalWidth="0">
            <w:col w:w="5198" w:space="685"/>
            <w:col w:w="5757"/>
          </w:cols>
        </w:sectPr>
      </w:pPr>
    </w:p>
    <w:p>
      <w:pPr>
        <w:pStyle w:val="BodyText"/>
        <w:spacing w:before="8"/>
        <w:rPr>
          <w:i/>
          <w:sz w:val="15"/>
        </w:rPr>
      </w:pPr>
    </w:p>
    <w:p>
      <w:pPr>
        <w:spacing w:after="0"/>
        <w:rPr>
          <w:sz w:val="15"/>
        </w:rPr>
        <w:sectPr>
          <w:pgSz w:w="12240" w:h="15840"/>
          <w:pgMar w:header="660" w:footer="484" w:top="960" w:bottom="880" w:left="360" w:right="240"/>
        </w:sectPr>
      </w:pPr>
    </w:p>
    <w:p>
      <w:pPr>
        <w:spacing w:before="90"/>
        <w:ind w:left="475" w:right="39" w:firstLine="0"/>
        <w:jc w:val="both"/>
        <w:rPr>
          <w:i/>
          <w:sz w:val="24"/>
        </w:rPr>
      </w:pPr>
      <w:r>
        <w:rPr>
          <w:i/>
          <w:color w:val="231F20"/>
          <w:sz w:val="24"/>
        </w:rPr>
        <w:t>this decision in the record.” This provision is</w:t>
      </w:r>
      <w:r>
        <w:rPr>
          <w:i/>
          <w:color w:val="231F20"/>
          <w:sz w:val="24"/>
        </w:rPr>
        <w:t> consistent with the policy of the Open Meetings Act that permits closure when required by the constitution. Accordingly, a board may close a hearing pursuant to Section 61-1-7 if necessary to safeguard privacy interests protected by the New Mexico or United States Constitutions.</w:t>
      </w:r>
    </w:p>
    <w:p>
      <w:pPr>
        <w:pStyle w:val="BodyText"/>
        <w:rPr>
          <w:i/>
        </w:rPr>
      </w:pPr>
    </w:p>
    <w:p>
      <w:pPr>
        <w:spacing w:before="0"/>
        <w:ind w:left="475" w:right="0" w:firstLine="0"/>
        <w:jc w:val="both"/>
        <w:rPr>
          <w:i/>
          <w:sz w:val="24"/>
        </w:rPr>
      </w:pPr>
      <w:bookmarkStart w:name="Example 33:" w:id="105"/>
      <w:bookmarkEnd w:id="10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33:</w:t>
      </w:r>
    </w:p>
    <w:p>
      <w:pPr>
        <w:pStyle w:val="BodyText"/>
        <w:rPr>
          <w:i/>
        </w:rPr>
      </w:pPr>
    </w:p>
    <w:p>
      <w:pPr>
        <w:spacing w:before="0"/>
        <w:ind w:left="475" w:right="38" w:firstLine="0"/>
        <w:jc w:val="both"/>
        <w:rPr>
          <w:i/>
          <w:sz w:val="24"/>
        </w:rPr>
      </w:pPr>
      <w:r>
        <w:rPr>
          <w:i/>
          <w:color w:val="231F20"/>
          <w:sz w:val="24"/>
        </w:rPr>
        <w:t>A</w:t>
      </w:r>
      <w:r>
        <w:rPr>
          <w:i/>
          <w:color w:val="231F20"/>
          <w:spacing w:val="-3"/>
          <w:sz w:val="24"/>
        </w:rPr>
        <w:t> </w:t>
      </w:r>
      <w:r>
        <w:rPr>
          <w:i/>
          <w:color w:val="231F20"/>
          <w:sz w:val="24"/>
        </w:rPr>
        <w:t>state</w:t>
      </w:r>
      <w:r>
        <w:rPr>
          <w:i/>
          <w:color w:val="231F20"/>
          <w:spacing w:val="-4"/>
          <w:sz w:val="24"/>
        </w:rPr>
        <w:t> </w:t>
      </w:r>
      <w:r>
        <w:rPr>
          <w:i/>
          <w:color w:val="231F20"/>
          <w:sz w:val="24"/>
        </w:rPr>
        <w:t>licensing</w:t>
      </w:r>
      <w:r>
        <w:rPr>
          <w:i/>
          <w:color w:val="231F20"/>
          <w:spacing w:val="-3"/>
          <w:sz w:val="24"/>
        </w:rPr>
        <w:t> </w:t>
      </w:r>
      <w:r>
        <w:rPr>
          <w:i/>
          <w:color w:val="231F20"/>
          <w:sz w:val="24"/>
        </w:rPr>
        <w:t>board</w:t>
      </w:r>
      <w:r>
        <w:rPr>
          <w:i/>
          <w:color w:val="231F20"/>
          <w:spacing w:val="-3"/>
          <w:sz w:val="24"/>
        </w:rPr>
        <w:t> </w:t>
      </w:r>
      <w:r>
        <w:rPr>
          <w:i/>
          <w:color w:val="231F20"/>
          <w:sz w:val="24"/>
        </w:rPr>
        <w:t>holds</w:t>
      </w:r>
      <w:r>
        <w:rPr>
          <w:i/>
          <w:color w:val="231F20"/>
          <w:spacing w:val="-3"/>
          <w:sz w:val="24"/>
        </w:rPr>
        <w:t> </w:t>
      </w:r>
      <w:r>
        <w:rPr>
          <w:i/>
          <w:color w:val="231F20"/>
          <w:sz w:val="24"/>
        </w:rPr>
        <w:t>a</w:t>
      </w:r>
      <w:r>
        <w:rPr>
          <w:i/>
          <w:color w:val="231F20"/>
          <w:spacing w:val="-3"/>
          <w:sz w:val="24"/>
        </w:rPr>
        <w:t> </w:t>
      </w:r>
      <w:r>
        <w:rPr>
          <w:i/>
          <w:color w:val="231F20"/>
          <w:sz w:val="24"/>
        </w:rPr>
        <w:t>hearing</w:t>
      </w:r>
      <w:r>
        <w:rPr>
          <w:i/>
          <w:color w:val="231F20"/>
          <w:spacing w:val="-3"/>
          <w:sz w:val="24"/>
        </w:rPr>
        <w:t> </w:t>
      </w:r>
      <w:r>
        <w:rPr>
          <w:i/>
          <w:color w:val="231F20"/>
          <w:sz w:val="24"/>
        </w:rPr>
        <w:t>at</w:t>
      </w:r>
      <w:r>
        <w:rPr>
          <w:i/>
          <w:color w:val="231F20"/>
          <w:spacing w:val="-5"/>
          <w:sz w:val="24"/>
        </w:rPr>
        <w:t> </w:t>
      </w:r>
      <w:r>
        <w:rPr>
          <w:i/>
          <w:color w:val="231F20"/>
          <w:sz w:val="24"/>
        </w:rPr>
        <w:t>which</w:t>
      </w:r>
      <w:r>
        <w:rPr>
          <w:i/>
          <w:color w:val="231F20"/>
          <w:sz w:val="24"/>
        </w:rPr>
        <w:t> certain evidence to be presented is alleged to be constitutionally protected. The party making the allegation requests that the hearing be closed during the times the evidence is presented. The board should determine, through a procedure open to the public, whether disclosure would violate any constitutional rights. In making this determination, the board must apply the constitutional test appropriate to the rights asserted (e.g., in some circumstances the test involves balancing the harm to the </w:t>
      </w:r>
      <w:r>
        <w:rPr>
          <w:i/>
          <w:color w:val="231F20"/>
          <w:sz w:val="24"/>
        </w:rPr>
        <w:t>party resulting from disclosure against the harm to</w:t>
      </w:r>
      <w:r>
        <w:rPr>
          <w:i/>
          <w:color w:val="231F20"/>
          <w:spacing w:val="40"/>
          <w:sz w:val="24"/>
        </w:rPr>
        <w:t> </w:t>
      </w:r>
      <w:r>
        <w:rPr>
          <w:i/>
          <w:color w:val="231F20"/>
          <w:sz w:val="24"/>
        </w:rPr>
        <w:t>the</w:t>
      </w:r>
      <w:r>
        <w:rPr>
          <w:i/>
          <w:color w:val="231F20"/>
          <w:spacing w:val="-2"/>
          <w:sz w:val="24"/>
        </w:rPr>
        <w:t> </w:t>
      </w:r>
      <w:r>
        <w:rPr>
          <w:i/>
          <w:color w:val="231F20"/>
          <w:sz w:val="24"/>
        </w:rPr>
        <w:t>public</w:t>
      </w:r>
      <w:r>
        <w:rPr>
          <w:i/>
          <w:color w:val="231F20"/>
          <w:spacing w:val="-2"/>
          <w:sz w:val="24"/>
        </w:rPr>
        <w:t> </w:t>
      </w:r>
      <w:r>
        <w:rPr>
          <w:i/>
          <w:color w:val="231F20"/>
          <w:sz w:val="24"/>
        </w:rPr>
        <w:t>and</w:t>
      </w:r>
      <w:r>
        <w:rPr>
          <w:i/>
          <w:color w:val="231F20"/>
          <w:spacing w:val="-1"/>
          <w:sz w:val="24"/>
        </w:rPr>
        <w:t> </w:t>
      </w:r>
      <w:r>
        <w:rPr>
          <w:i/>
          <w:color w:val="231F20"/>
          <w:sz w:val="24"/>
        </w:rPr>
        <w:t>others</w:t>
      </w:r>
      <w:r>
        <w:rPr>
          <w:i/>
          <w:color w:val="231F20"/>
          <w:spacing w:val="-3"/>
          <w:sz w:val="24"/>
        </w:rPr>
        <w:t> </w:t>
      </w:r>
      <w:r>
        <w:rPr>
          <w:i/>
          <w:color w:val="231F20"/>
          <w:sz w:val="24"/>
        </w:rPr>
        <w:t>from</w:t>
      </w:r>
      <w:r>
        <w:rPr>
          <w:i/>
          <w:color w:val="231F20"/>
          <w:spacing w:val="-1"/>
          <w:sz w:val="24"/>
        </w:rPr>
        <w:t> </w:t>
      </w:r>
      <w:r>
        <w:rPr>
          <w:i/>
          <w:color w:val="231F20"/>
          <w:sz w:val="24"/>
        </w:rPr>
        <w:t>nondisclosure).</w:t>
      </w:r>
      <w:r>
        <w:rPr>
          <w:i/>
          <w:color w:val="231F20"/>
          <w:spacing w:val="-1"/>
          <w:sz w:val="24"/>
        </w:rPr>
        <w:t> </w:t>
      </w:r>
      <w:r>
        <w:rPr>
          <w:i/>
          <w:color w:val="231F20"/>
          <w:sz w:val="24"/>
        </w:rPr>
        <w:t>If the board decides that disclosure will violate the party’s constitutional rights, the board can properly close those portions of any subsequent hearing that involve the protected evidence.</w:t>
      </w:r>
    </w:p>
    <w:p>
      <w:pPr>
        <w:pStyle w:val="BodyText"/>
        <w:rPr>
          <w:i/>
        </w:rPr>
      </w:pPr>
    </w:p>
    <w:p>
      <w:pPr>
        <w:spacing w:before="0"/>
        <w:ind w:left="475" w:right="0" w:firstLine="0"/>
        <w:jc w:val="both"/>
        <w:rPr>
          <w:i/>
          <w:sz w:val="24"/>
        </w:rPr>
      </w:pPr>
      <w:bookmarkStart w:name="Example 34:" w:id="106"/>
      <w:bookmarkEnd w:id="10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34:</w:t>
      </w:r>
    </w:p>
    <w:p>
      <w:pPr>
        <w:pStyle w:val="BodyText"/>
        <w:rPr>
          <w:i/>
        </w:rPr>
      </w:pPr>
    </w:p>
    <w:p>
      <w:pPr>
        <w:spacing w:line="240" w:lineRule="auto" w:before="0"/>
        <w:ind w:left="475" w:right="38" w:firstLine="0"/>
        <w:jc w:val="both"/>
        <w:rPr>
          <w:i/>
          <w:sz w:val="24"/>
        </w:rPr>
      </w:pPr>
      <w:r>
        <w:rPr>
          <w:i/>
          <w:color w:val="231F20"/>
          <w:sz w:val="24"/>
        </w:rPr>
        <w:t>A city housing authority responsible</w:t>
      </w:r>
      <w:r>
        <w:rPr>
          <w:i/>
          <w:color w:val="231F20"/>
          <w:sz w:val="24"/>
        </w:rPr>
        <w:t> for</w:t>
      </w:r>
      <w:r>
        <w:rPr>
          <w:i/>
          <w:color w:val="231F20"/>
          <w:sz w:val="24"/>
        </w:rPr>
        <w:t> reviewing and approving applications for subsidized home loans for low-income families must necessarily consider the family’s financial records to determine if the family qualifies</w:t>
      </w:r>
      <w:r>
        <w:rPr>
          <w:i/>
          <w:color w:val="231F20"/>
          <w:spacing w:val="40"/>
          <w:sz w:val="24"/>
        </w:rPr>
        <w:t> </w:t>
      </w:r>
      <w:r>
        <w:rPr>
          <w:i/>
          <w:color w:val="231F20"/>
          <w:sz w:val="24"/>
        </w:rPr>
        <w:t>under the program. Although the </w:t>
      </w:r>
      <w:r>
        <w:rPr>
          <w:i/>
          <w:color w:val="231F20"/>
          <w:sz w:val="24"/>
        </w:rPr>
        <w:t>housing authority is concerned with preserving the privacy of the applicants, the information required in order to establish eligibility for the loans is not protected and may be discussed in open meetings. As there is no basis for closing the meetings, the housing authority </w:t>
      </w:r>
      <w:r>
        <w:rPr>
          <w:i/>
          <w:color w:val="231F20"/>
          <w:sz w:val="24"/>
        </w:rPr>
        <w:t>should respect the privacy of the applicants by asking only for the specific information required by the program and no more.</w:t>
      </w:r>
    </w:p>
    <w:p>
      <w:pPr>
        <w:pStyle w:val="ListParagraph"/>
        <w:numPr>
          <w:ilvl w:val="0"/>
          <w:numId w:val="11"/>
        </w:numPr>
        <w:tabs>
          <w:tab w:pos="718" w:val="left" w:leader="none"/>
        </w:tabs>
        <w:spacing w:line="240" w:lineRule="auto" w:before="195" w:after="0"/>
        <w:ind w:left="717" w:right="0" w:hanging="243"/>
        <w:jc w:val="left"/>
        <w:rPr>
          <w:sz w:val="24"/>
        </w:rPr>
      </w:pPr>
      <w:bookmarkStart w:name="1. Licensing" w:id="107"/>
      <w:bookmarkEnd w:id="107"/>
      <w:r>
        <w:rPr>
          <w:color w:val="231F20"/>
          <w:spacing w:val="-2"/>
          <w:sz w:val="24"/>
          <w:u w:val="single" w:color="231F20"/>
        </w:rPr>
        <w:t>L</w:t>
      </w:r>
      <w:r>
        <w:rPr>
          <w:color w:val="231F20"/>
          <w:spacing w:val="-2"/>
          <w:sz w:val="24"/>
          <w:u w:val="single" w:color="231F20"/>
        </w:rPr>
        <w:t>icensing</w:t>
      </w:r>
    </w:p>
    <w:p>
      <w:pPr>
        <w:spacing w:before="199"/>
        <w:ind w:left="475" w:right="0" w:firstLine="0"/>
        <w:jc w:val="both"/>
        <w:rPr>
          <w:b/>
          <w:sz w:val="24"/>
        </w:rPr>
      </w:pPr>
      <w:bookmarkStart w:name="The Law" w:id="108"/>
      <w:bookmarkEnd w:id="10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spacing w:line="240" w:lineRule="auto" w:before="1"/>
        <w:rPr>
          <w:b/>
          <w:sz w:val="25"/>
        </w:rPr>
      </w:pPr>
      <w:r>
        <w:rPr/>
        <w:br w:type="column"/>
      </w:r>
      <w:r>
        <w:rPr>
          <w:b/>
          <w:sz w:val="25"/>
        </w:rPr>
      </w:r>
    </w:p>
    <w:p>
      <w:pPr>
        <w:spacing w:before="0"/>
        <w:ind w:left="475" w:right="597" w:firstLine="0"/>
        <w:jc w:val="both"/>
        <w:rPr>
          <w:b/>
          <w:sz w:val="24"/>
        </w:rPr>
      </w:pPr>
      <w:r>
        <w:rPr>
          <w:b/>
          <w:color w:val="231F20"/>
          <w:sz w:val="24"/>
        </w:rPr>
        <w:t>Meetings pertaining to issuance, suspension, renewal or revocation of a license except that a hearing at which evidence is offered or rebutted shall be open. All final actions on</w:t>
      </w:r>
      <w:r>
        <w:rPr>
          <w:b/>
          <w:color w:val="231F20"/>
          <w:spacing w:val="40"/>
          <w:sz w:val="24"/>
        </w:rPr>
        <w:t> </w:t>
      </w:r>
      <w:r>
        <w:rPr>
          <w:b/>
          <w:color w:val="231F20"/>
          <w:sz w:val="24"/>
        </w:rPr>
        <w:t>the issuance, suspension, renewal or revocation of a license shall be taken at an open meeting.</w:t>
      </w:r>
    </w:p>
    <w:p>
      <w:pPr>
        <w:pStyle w:val="BodyText"/>
        <w:spacing w:before="192"/>
        <w:ind w:left="475"/>
      </w:pPr>
      <w:bookmarkStart w:name="Commentary" w:id="109"/>
      <w:bookmarkEnd w:id="109"/>
      <w:r>
        <w:rPr/>
      </w:r>
      <w:r>
        <w:rPr>
          <w:color w:val="231F20"/>
          <w:spacing w:val="-2"/>
          <w:u w:val="single" w:color="231F20"/>
        </w:rPr>
        <w:t>Commentary</w:t>
      </w:r>
    </w:p>
    <w:p>
      <w:pPr>
        <w:pStyle w:val="BodyText"/>
        <w:spacing w:before="195"/>
        <w:ind w:left="475" w:right="600"/>
        <w:jc w:val="both"/>
      </w:pPr>
      <w:r>
        <w:rPr>
          <w:color w:val="231F20"/>
        </w:rPr>
        <w:t>This paragraph permits a public body to close a meeting to discuss certain matters pertaining to</w:t>
      </w:r>
      <w:r>
        <w:rPr>
          <w:color w:val="231F20"/>
          <w:spacing w:val="40"/>
        </w:rPr>
        <w:t> </w:t>
      </w:r>
      <w:r>
        <w:rPr>
          <w:color w:val="231F20"/>
        </w:rPr>
        <w:t>a particular license. Excepted are hearings conducted to present or rebut evidence in support of disciplinary action against a licensee, which must be open. The public body</w:t>
      </w:r>
      <w:r>
        <w:rPr>
          <w:color w:val="231F20"/>
          <w:spacing w:val="-6"/>
        </w:rPr>
        <w:t> </w:t>
      </w:r>
      <w:r>
        <w:rPr>
          <w:color w:val="231F20"/>
        </w:rPr>
        <w:t>may</w:t>
      </w:r>
      <w:r>
        <w:rPr>
          <w:color w:val="231F20"/>
          <w:spacing w:val="-3"/>
        </w:rPr>
        <w:t> </w:t>
      </w:r>
      <w:r>
        <w:rPr>
          <w:color w:val="231F20"/>
        </w:rPr>
        <w:t>close its meeting to deliberate, but all final actions concerning a license must be made in an open </w:t>
      </w:r>
      <w:r>
        <w:rPr>
          <w:color w:val="231F20"/>
          <w:spacing w:val="-2"/>
        </w:rPr>
        <w:t>meeting.</w:t>
      </w:r>
    </w:p>
    <w:p>
      <w:pPr>
        <w:pStyle w:val="BodyText"/>
      </w:pPr>
    </w:p>
    <w:p>
      <w:pPr>
        <w:pStyle w:val="BodyText"/>
        <w:ind w:left="475" w:right="598"/>
        <w:jc w:val="both"/>
      </w:pPr>
      <w:r>
        <w:rPr>
          <w:color w:val="231F20"/>
        </w:rPr>
        <w:t>Boards subject to the Uniform Licensing Act or the Administrative Procedures Act must comply with applicable procedures required by those acts for the issuance, suspension, renewal or revocation of a license.</w:t>
      </w:r>
    </w:p>
    <w:p>
      <w:pPr>
        <w:pStyle w:val="BodyText"/>
      </w:pPr>
    </w:p>
    <w:p>
      <w:pPr>
        <w:spacing w:before="0"/>
        <w:ind w:left="475" w:right="0" w:firstLine="0"/>
        <w:jc w:val="left"/>
        <w:rPr>
          <w:i/>
          <w:sz w:val="24"/>
        </w:rPr>
      </w:pPr>
      <w:bookmarkStart w:name="Example 35:" w:id="110"/>
      <w:bookmarkEnd w:id="11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35:</w:t>
      </w:r>
    </w:p>
    <w:p>
      <w:pPr>
        <w:pStyle w:val="BodyText"/>
        <w:rPr>
          <w:i/>
        </w:rPr>
      </w:pPr>
    </w:p>
    <w:p>
      <w:pPr>
        <w:spacing w:before="0"/>
        <w:ind w:left="475" w:right="598" w:firstLine="0"/>
        <w:jc w:val="both"/>
        <w:rPr>
          <w:i/>
          <w:sz w:val="24"/>
        </w:rPr>
      </w:pPr>
      <w:r>
        <w:rPr>
          <w:i/>
          <w:color w:val="231F20"/>
          <w:sz w:val="24"/>
        </w:rPr>
        <w:t>The State Board of Psychologist Examiners</w:t>
      </w:r>
      <w:r>
        <w:rPr>
          <w:i/>
          <w:color w:val="231F20"/>
          <w:sz w:val="24"/>
        </w:rPr>
        <w:t> meets in closed session to discuss an applicant for a license to practice psychology. The applicant has failed the examination for professional practice in psychology required by statute. After its discussion, the Board opens the meeting and votes to deny the application. In this situation, the Uniform Licensing Act does not require a hearing, so the board’s action </w:t>
      </w:r>
      <w:r>
        <w:rPr>
          <w:i/>
          <w:color w:val="231F20"/>
          <w:sz w:val="24"/>
        </w:rPr>
        <w:t>is </w:t>
      </w:r>
      <w:r>
        <w:rPr>
          <w:i/>
          <w:color w:val="231F20"/>
          <w:spacing w:val="-2"/>
          <w:sz w:val="24"/>
        </w:rPr>
        <w:t>proper.</w:t>
      </w:r>
    </w:p>
    <w:p>
      <w:pPr>
        <w:pStyle w:val="BodyText"/>
        <w:rPr>
          <w:i/>
        </w:rPr>
      </w:pPr>
    </w:p>
    <w:p>
      <w:pPr>
        <w:spacing w:before="1"/>
        <w:ind w:left="475" w:right="0" w:firstLine="0"/>
        <w:jc w:val="left"/>
        <w:rPr>
          <w:i/>
          <w:sz w:val="24"/>
        </w:rPr>
      </w:pPr>
      <w:bookmarkStart w:name="Example 36:" w:id="111"/>
      <w:bookmarkEnd w:id="11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36:</w:t>
      </w:r>
    </w:p>
    <w:p>
      <w:pPr>
        <w:pStyle w:val="BodyText"/>
        <w:spacing w:before="11"/>
        <w:rPr>
          <w:i/>
          <w:sz w:val="23"/>
        </w:rPr>
      </w:pPr>
    </w:p>
    <w:p>
      <w:pPr>
        <w:spacing w:before="0"/>
        <w:ind w:left="475" w:right="598" w:firstLine="0"/>
        <w:jc w:val="both"/>
        <w:rPr>
          <w:i/>
          <w:sz w:val="24"/>
        </w:rPr>
      </w:pPr>
      <w:r>
        <w:rPr>
          <w:i/>
          <w:color w:val="231F20"/>
          <w:sz w:val="24"/>
        </w:rPr>
        <w:t>To ensure that complaints against licensed</w:t>
      </w:r>
      <w:r>
        <w:rPr>
          <w:i/>
          <w:color w:val="231F20"/>
          <w:sz w:val="24"/>
        </w:rPr>
        <w:t> practitioners are handled efficiently, the State Board of Medical Examiners establishes a complaint committee. The committee is charged with reviewing complaints made to the Board and deciding which complaints should be presented to the Board for possible action. To decide</w:t>
      </w:r>
      <w:r>
        <w:rPr>
          <w:i/>
          <w:color w:val="231F20"/>
          <w:spacing w:val="6"/>
          <w:sz w:val="24"/>
        </w:rPr>
        <w:t> </w:t>
      </w:r>
      <w:r>
        <w:rPr>
          <w:i/>
          <w:color w:val="231F20"/>
          <w:sz w:val="24"/>
        </w:rPr>
        <w:t>which</w:t>
      </w:r>
      <w:r>
        <w:rPr>
          <w:i/>
          <w:color w:val="231F20"/>
          <w:spacing w:val="11"/>
          <w:sz w:val="24"/>
        </w:rPr>
        <w:t> </w:t>
      </w:r>
      <w:r>
        <w:rPr>
          <w:i/>
          <w:color w:val="231F20"/>
          <w:sz w:val="24"/>
        </w:rPr>
        <w:t>complaints</w:t>
      </w:r>
      <w:r>
        <w:rPr>
          <w:i/>
          <w:color w:val="231F20"/>
          <w:spacing w:val="8"/>
          <w:sz w:val="24"/>
        </w:rPr>
        <w:t> </w:t>
      </w:r>
      <w:r>
        <w:rPr>
          <w:i/>
          <w:color w:val="231F20"/>
          <w:sz w:val="24"/>
        </w:rPr>
        <w:t>will</w:t>
      </w:r>
      <w:r>
        <w:rPr>
          <w:i/>
          <w:color w:val="231F20"/>
          <w:spacing w:val="9"/>
          <w:sz w:val="24"/>
        </w:rPr>
        <w:t> </w:t>
      </w:r>
      <w:r>
        <w:rPr>
          <w:i/>
          <w:color w:val="231F20"/>
          <w:sz w:val="24"/>
        </w:rPr>
        <w:t>be</w:t>
      </w:r>
      <w:r>
        <w:rPr>
          <w:i/>
          <w:color w:val="231F20"/>
          <w:spacing w:val="7"/>
          <w:sz w:val="24"/>
        </w:rPr>
        <w:t> </w:t>
      </w:r>
      <w:r>
        <w:rPr>
          <w:i/>
          <w:color w:val="231F20"/>
          <w:sz w:val="24"/>
        </w:rPr>
        <w:t>acted</w:t>
      </w:r>
      <w:r>
        <w:rPr>
          <w:i/>
          <w:color w:val="231F20"/>
          <w:spacing w:val="8"/>
          <w:sz w:val="24"/>
        </w:rPr>
        <w:t> </w:t>
      </w:r>
      <w:r>
        <w:rPr>
          <w:i/>
          <w:color w:val="231F20"/>
          <w:sz w:val="24"/>
        </w:rPr>
        <w:t>on</w:t>
      </w:r>
      <w:r>
        <w:rPr>
          <w:i/>
          <w:color w:val="231F20"/>
          <w:spacing w:val="8"/>
          <w:sz w:val="24"/>
        </w:rPr>
        <w:t> </w:t>
      </w:r>
      <w:r>
        <w:rPr>
          <w:i/>
          <w:color w:val="231F20"/>
          <w:sz w:val="24"/>
        </w:rPr>
        <w:t>by</w:t>
      </w:r>
      <w:r>
        <w:rPr>
          <w:i/>
          <w:color w:val="231F20"/>
          <w:spacing w:val="7"/>
          <w:sz w:val="24"/>
        </w:rPr>
        <w:t> </w:t>
      </w:r>
      <w:r>
        <w:rPr>
          <w:i/>
          <w:color w:val="231F20"/>
          <w:spacing w:val="-5"/>
          <w:sz w:val="24"/>
        </w:rPr>
        <w:t>the</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Board, the committee applies criteria</w:t>
      </w:r>
      <w:r>
        <w:rPr>
          <w:i/>
          <w:color w:val="231F20"/>
          <w:sz w:val="24"/>
        </w:rPr>
        <w:t> established by the Board. Under </w:t>
      </w:r>
      <w:r>
        <w:rPr>
          <w:i/>
          <w:color w:val="231F20"/>
          <w:sz w:val="24"/>
        </w:rPr>
        <w:t>these circumstances, the committee is executing</w:t>
      </w:r>
      <w:r>
        <w:rPr>
          <w:i/>
          <w:color w:val="231F20"/>
          <w:spacing w:val="40"/>
          <w:sz w:val="24"/>
        </w:rPr>
        <w:t> </w:t>
      </w:r>
      <w:r>
        <w:rPr>
          <w:i/>
          <w:color w:val="231F20"/>
          <w:sz w:val="24"/>
        </w:rPr>
        <w:t>rather than establishing Board policy and is not subject to the Act.</w:t>
      </w:r>
    </w:p>
    <w:p>
      <w:pPr>
        <w:pStyle w:val="BodyText"/>
        <w:spacing w:before="11"/>
        <w:rPr>
          <w:i/>
          <w:sz w:val="23"/>
        </w:rPr>
      </w:pPr>
    </w:p>
    <w:p>
      <w:pPr>
        <w:pStyle w:val="ListParagraph"/>
        <w:numPr>
          <w:ilvl w:val="0"/>
          <w:numId w:val="11"/>
        </w:numPr>
        <w:tabs>
          <w:tab w:pos="718" w:val="left" w:leader="none"/>
        </w:tabs>
        <w:spacing w:line="240" w:lineRule="auto" w:before="0" w:after="0"/>
        <w:ind w:left="717" w:right="0" w:hanging="243"/>
        <w:jc w:val="left"/>
        <w:rPr>
          <w:sz w:val="24"/>
        </w:rPr>
      </w:pPr>
      <w:bookmarkStart w:name="2. Limited Personnel Matters" w:id="112"/>
      <w:bookmarkEnd w:id="112"/>
      <w:r>
        <w:rPr>
          <w:color w:val="231F20"/>
          <w:sz w:val="24"/>
          <w:u w:val="single" w:color="231F20"/>
        </w:rPr>
        <w:t>L</w:t>
      </w:r>
      <w:r>
        <w:rPr>
          <w:color w:val="231F20"/>
          <w:sz w:val="24"/>
          <w:u w:val="single" w:color="231F20"/>
        </w:rPr>
        <w:t>imited</w:t>
      </w:r>
      <w:r>
        <w:rPr>
          <w:color w:val="231F20"/>
          <w:spacing w:val="-7"/>
          <w:sz w:val="24"/>
          <w:u w:val="single" w:color="231F20"/>
        </w:rPr>
        <w:t> </w:t>
      </w:r>
      <w:r>
        <w:rPr>
          <w:color w:val="231F20"/>
          <w:sz w:val="24"/>
          <w:u w:val="single" w:color="231F20"/>
        </w:rPr>
        <w:t>Personnel</w:t>
      </w:r>
      <w:r>
        <w:rPr>
          <w:color w:val="231F20"/>
          <w:spacing w:val="-6"/>
          <w:sz w:val="24"/>
          <w:u w:val="single" w:color="231F20"/>
        </w:rPr>
        <w:t> </w:t>
      </w:r>
      <w:r>
        <w:rPr>
          <w:color w:val="231F20"/>
          <w:spacing w:val="-2"/>
          <w:sz w:val="24"/>
          <w:u w:val="single" w:color="231F20"/>
        </w:rPr>
        <w:t>Matters</w:t>
      </w:r>
    </w:p>
    <w:p>
      <w:pPr>
        <w:pStyle w:val="BodyText"/>
        <w:spacing w:before="5"/>
      </w:pPr>
    </w:p>
    <w:p>
      <w:pPr>
        <w:spacing w:before="0"/>
        <w:ind w:left="475" w:right="0" w:firstLine="0"/>
        <w:jc w:val="both"/>
        <w:rPr>
          <w:b/>
          <w:sz w:val="24"/>
        </w:rPr>
      </w:pPr>
      <w:bookmarkStart w:name="The Law" w:id="113"/>
      <w:bookmarkEnd w:id="113"/>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90"/>
        <w:ind w:left="475" w:right="598"/>
        <w:jc w:val="both"/>
      </w:pPr>
      <w:r>
        <w:rPr/>
        <w:br w:type="column"/>
      </w:r>
      <w:r>
        <w:rPr>
          <w:color w:val="231F20"/>
        </w:rPr>
        <w:t>specific individuals. This point is emphasized in Section 10-15-1(B) of the Act (discussed</w:t>
      </w:r>
      <w:r>
        <w:rPr>
          <w:color w:val="231F20"/>
          <w:spacing w:val="40"/>
        </w:rPr>
        <w:t> </w:t>
      </w:r>
      <w:r>
        <w:rPr>
          <w:color w:val="231F20"/>
        </w:rPr>
        <w:t>above), which specifies that meetings of a</w:t>
      </w:r>
      <w:r>
        <w:rPr>
          <w:color w:val="231F20"/>
          <w:spacing w:val="40"/>
        </w:rPr>
        <w:t> </w:t>
      </w:r>
      <w:r>
        <w:rPr>
          <w:color w:val="231F20"/>
        </w:rPr>
        <w:t>public body held to formulate public policy “including the development of personnel policy, rules, regulations or ordinances” are open </w:t>
      </w:r>
      <w:r>
        <w:rPr>
          <w:color w:val="231F20"/>
          <w:spacing w:val="-2"/>
        </w:rPr>
        <w:t>meetings.</w:t>
      </w:r>
    </w:p>
    <w:p>
      <w:pPr>
        <w:pStyle w:val="BodyText"/>
      </w:pPr>
    </w:p>
    <w:p>
      <w:pPr>
        <w:spacing w:before="0"/>
        <w:ind w:left="475" w:right="0" w:firstLine="0"/>
        <w:jc w:val="both"/>
        <w:rPr>
          <w:i/>
          <w:sz w:val="24"/>
        </w:rPr>
      </w:pPr>
      <w:bookmarkStart w:name="Example 37:" w:id="114"/>
      <w:bookmarkEnd w:id="11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37:</w:t>
      </w:r>
    </w:p>
    <w:p>
      <w:pPr>
        <w:spacing w:after="0"/>
        <w:jc w:val="both"/>
        <w:rPr>
          <w:sz w:val="24"/>
        </w:rPr>
        <w:sectPr>
          <w:type w:val="continuous"/>
          <w:pgSz w:w="12240" w:h="15840"/>
          <w:pgMar w:header="660" w:footer="484" w:top="480" w:bottom="280" w:left="360" w:right="240"/>
          <w:cols w:num="2" w:equalWidth="0">
            <w:col w:w="5197" w:space="685"/>
            <w:col w:w="5758"/>
          </w:cols>
        </w:sectPr>
      </w:pPr>
    </w:p>
    <w:p>
      <w:pPr>
        <w:pStyle w:val="BodyText"/>
        <w:spacing w:before="9"/>
        <w:rPr>
          <w:i/>
          <w:sz w:val="15"/>
        </w:rPr>
      </w:pPr>
    </w:p>
    <w:p>
      <w:pPr>
        <w:spacing w:after="0"/>
        <w:rPr>
          <w:sz w:val="15"/>
        </w:rPr>
        <w:sectPr>
          <w:type w:val="continuous"/>
          <w:pgSz w:w="12240" w:h="15840"/>
          <w:pgMar w:header="660" w:footer="484" w:top="480" w:bottom="280" w:left="360" w:right="240"/>
        </w:sectPr>
      </w:pPr>
    </w:p>
    <w:p>
      <w:pPr>
        <w:spacing w:before="95"/>
        <w:ind w:left="475" w:right="39" w:firstLine="0"/>
        <w:jc w:val="both"/>
        <w:rPr>
          <w:b/>
          <w:sz w:val="24"/>
        </w:rPr>
      </w:pPr>
      <w:r>
        <w:rPr>
          <w:b/>
          <w:color w:val="231F20"/>
          <w:sz w:val="24"/>
        </w:rPr>
        <w:t>Limited personnel matters; provided that for purposes of the Open Meetings Act, “limited personnel matters” means the discussion of hiring, promotion, demotion, dismissal, assignment</w:t>
      </w:r>
      <w:r>
        <w:rPr>
          <w:b/>
          <w:color w:val="231F20"/>
          <w:sz w:val="24"/>
        </w:rPr>
        <w:t> or</w:t>
      </w:r>
      <w:r>
        <w:rPr>
          <w:b/>
          <w:color w:val="231F20"/>
          <w:sz w:val="24"/>
        </w:rPr>
        <w:t> resignation of or the investigation or consideration of complaints or charges against</w:t>
      </w:r>
      <w:r>
        <w:rPr>
          <w:b/>
          <w:color w:val="231F20"/>
          <w:sz w:val="24"/>
        </w:rPr>
        <w:t> any individual public employee; provided further that</w:t>
      </w:r>
      <w:r>
        <w:rPr>
          <w:b/>
          <w:color w:val="231F20"/>
          <w:sz w:val="24"/>
        </w:rPr>
        <w:t> this Subsection is not</w:t>
      </w:r>
      <w:r>
        <w:rPr>
          <w:b/>
          <w:color w:val="231F20"/>
          <w:sz w:val="24"/>
        </w:rPr>
        <w:t> to</w:t>
      </w:r>
      <w:r>
        <w:rPr>
          <w:b/>
          <w:color w:val="231F20"/>
          <w:sz w:val="24"/>
        </w:rPr>
        <w:t> be construed as to</w:t>
      </w:r>
      <w:r>
        <w:rPr>
          <w:b/>
          <w:color w:val="231F20"/>
          <w:spacing w:val="40"/>
          <w:sz w:val="24"/>
        </w:rPr>
        <w:t> </w:t>
      </w:r>
      <w:r>
        <w:rPr>
          <w:b/>
          <w:color w:val="231F20"/>
          <w:sz w:val="24"/>
        </w:rPr>
        <w:t>exempt final actions on personnel from being taken at open public meetings;</w:t>
      </w:r>
      <w:r>
        <w:rPr>
          <w:b/>
          <w:color w:val="231F20"/>
          <w:sz w:val="24"/>
        </w:rPr>
        <w:t> nor does it preclude an aggrieved public employee from demanding a public hearing. Judicial candidates interviewed by any commission shall have the right to demand an open </w:t>
      </w:r>
      <w:r>
        <w:rPr>
          <w:b/>
          <w:color w:val="231F20"/>
          <w:spacing w:val="-2"/>
          <w:sz w:val="24"/>
        </w:rPr>
        <w:t>interview.</w:t>
      </w:r>
    </w:p>
    <w:p>
      <w:pPr>
        <w:pStyle w:val="BodyText"/>
        <w:spacing w:before="6"/>
        <w:rPr>
          <w:b/>
          <w:sz w:val="23"/>
        </w:rPr>
      </w:pPr>
    </w:p>
    <w:p>
      <w:pPr>
        <w:pStyle w:val="BodyText"/>
        <w:spacing w:before="1"/>
        <w:ind w:left="475"/>
      </w:pPr>
      <w:bookmarkStart w:name="Commentary" w:id="115"/>
      <w:bookmarkEnd w:id="115"/>
      <w:r>
        <w:rPr/>
      </w:r>
      <w:r>
        <w:rPr>
          <w:color w:val="231F20"/>
          <w:spacing w:val="-2"/>
          <w:u w:val="single" w:color="231F20"/>
        </w:rPr>
        <w:t>Commentary</w:t>
      </w:r>
    </w:p>
    <w:p>
      <w:pPr>
        <w:pStyle w:val="BodyText"/>
      </w:pPr>
    </w:p>
    <w:p>
      <w:pPr>
        <w:pStyle w:val="BodyText"/>
        <w:ind w:left="475" w:right="38"/>
        <w:jc w:val="both"/>
      </w:pPr>
      <w:r>
        <w:rPr>
          <w:color w:val="231F20"/>
        </w:rPr>
        <w:t>This exception permits a public body to close meetings for the purpose of discussing certain matters concerning individual employees of the public body. Specifically, a public body may close</w:t>
      </w:r>
      <w:r>
        <w:rPr>
          <w:color w:val="231F20"/>
          <w:spacing w:val="-3"/>
        </w:rPr>
        <w:t> </w:t>
      </w:r>
      <w:r>
        <w:rPr>
          <w:color w:val="231F20"/>
        </w:rPr>
        <w:t>a</w:t>
      </w:r>
      <w:r>
        <w:rPr>
          <w:color w:val="231F20"/>
          <w:spacing w:val="-3"/>
        </w:rPr>
        <w:t> </w:t>
      </w:r>
      <w:r>
        <w:rPr>
          <w:color w:val="231F20"/>
        </w:rPr>
        <w:t>meeting</w:t>
      </w:r>
      <w:r>
        <w:rPr>
          <w:color w:val="231F20"/>
          <w:spacing w:val="-2"/>
        </w:rPr>
        <w:t> </w:t>
      </w:r>
      <w:r>
        <w:rPr>
          <w:color w:val="231F20"/>
        </w:rPr>
        <w:t>to</w:t>
      </w:r>
      <w:r>
        <w:rPr>
          <w:color w:val="231F20"/>
          <w:spacing w:val="-2"/>
        </w:rPr>
        <w:t> </w:t>
      </w:r>
      <w:r>
        <w:rPr>
          <w:color w:val="231F20"/>
        </w:rPr>
        <w:t>discuss</w:t>
      </w:r>
      <w:r>
        <w:rPr>
          <w:color w:val="231F20"/>
          <w:spacing w:val="-2"/>
        </w:rPr>
        <w:t> </w:t>
      </w:r>
      <w:r>
        <w:rPr>
          <w:color w:val="231F20"/>
        </w:rPr>
        <w:t>the</w:t>
      </w:r>
      <w:r>
        <w:rPr>
          <w:color w:val="231F20"/>
          <w:spacing w:val="-3"/>
        </w:rPr>
        <w:t> </w:t>
      </w:r>
      <w:r>
        <w:rPr>
          <w:color w:val="231F20"/>
        </w:rPr>
        <w:t>hiring, promotion, demotion, dismissal, assignment or resignation of an individual public employee or the investigation or consideration of complaints or charges against an individual public employee. A public body may also close a meeting for matters that are closely related to those specifically listed in the exception, such as performance appraisals and interviews with job </w:t>
      </w:r>
      <w:r>
        <w:rPr>
          <w:color w:val="231F20"/>
          <w:spacing w:val="-2"/>
        </w:rPr>
        <w:t>candidates.</w:t>
      </w:r>
    </w:p>
    <w:p>
      <w:pPr>
        <w:pStyle w:val="BodyText"/>
        <w:spacing w:before="9"/>
        <w:rPr>
          <w:sz w:val="23"/>
        </w:rPr>
      </w:pPr>
    </w:p>
    <w:p>
      <w:pPr>
        <w:pStyle w:val="BodyText"/>
        <w:ind w:left="475" w:right="40"/>
        <w:jc w:val="both"/>
      </w:pPr>
      <w:r>
        <w:rPr>
          <w:color w:val="231F20"/>
        </w:rPr>
        <w:t>The exception does not permit a public policymaking body to retreat into executive session to discuss personnel policies, procedures, budget items, and other issues not concerning</w:t>
      </w:r>
      <w:r>
        <w:rPr>
          <w:color w:val="231F20"/>
          <w:spacing w:val="17"/>
        </w:rPr>
        <w:t> </w:t>
      </w:r>
      <w:r>
        <w:rPr>
          <w:color w:val="231F20"/>
        </w:rPr>
        <w:t>the</w:t>
      </w:r>
      <w:r>
        <w:rPr>
          <w:color w:val="231F20"/>
          <w:spacing w:val="17"/>
        </w:rPr>
        <w:t> </w:t>
      </w:r>
      <w:r>
        <w:rPr>
          <w:color w:val="231F20"/>
        </w:rPr>
        <w:t>qualifications</w:t>
      </w:r>
      <w:r>
        <w:rPr>
          <w:color w:val="231F20"/>
          <w:spacing w:val="17"/>
        </w:rPr>
        <w:t> </w:t>
      </w:r>
      <w:r>
        <w:rPr>
          <w:color w:val="231F20"/>
        </w:rPr>
        <w:t>or</w:t>
      </w:r>
      <w:r>
        <w:rPr>
          <w:color w:val="231F20"/>
          <w:spacing w:val="17"/>
        </w:rPr>
        <w:t> </w:t>
      </w:r>
      <w:r>
        <w:rPr>
          <w:color w:val="231F20"/>
        </w:rPr>
        <w:t>performance</w:t>
      </w:r>
      <w:r>
        <w:rPr>
          <w:color w:val="231F20"/>
          <w:spacing w:val="18"/>
        </w:rPr>
        <w:t> </w:t>
      </w:r>
      <w:r>
        <w:rPr>
          <w:color w:val="231F20"/>
          <w:spacing w:val="-5"/>
        </w:rPr>
        <w:t>of</w:t>
      </w:r>
    </w:p>
    <w:p>
      <w:pPr>
        <w:spacing w:before="90"/>
        <w:ind w:left="475" w:right="597" w:firstLine="0"/>
        <w:jc w:val="both"/>
        <w:rPr>
          <w:i/>
          <w:sz w:val="24"/>
        </w:rPr>
      </w:pPr>
      <w:r>
        <w:rPr/>
        <w:br w:type="column"/>
      </w:r>
      <w:r>
        <w:rPr>
          <w:i/>
          <w:color w:val="231F20"/>
          <w:sz w:val="24"/>
        </w:rPr>
        <w:t>A county commission wishes to discuss whether</w:t>
      </w:r>
      <w:r>
        <w:rPr>
          <w:i/>
          <w:color w:val="231F20"/>
          <w:sz w:val="24"/>
        </w:rPr>
        <w:t> its budget permits it to hire additional staff. The meeting cannot be closed under the limited personnel matters exception because the commission is not considering an individual </w:t>
      </w:r>
      <w:r>
        <w:rPr>
          <w:i/>
          <w:color w:val="231F20"/>
          <w:spacing w:val="-2"/>
          <w:sz w:val="24"/>
        </w:rPr>
        <w:t>employee.</w:t>
      </w:r>
    </w:p>
    <w:p>
      <w:pPr>
        <w:pStyle w:val="BodyText"/>
        <w:rPr>
          <w:i/>
        </w:rPr>
      </w:pPr>
    </w:p>
    <w:p>
      <w:pPr>
        <w:spacing w:before="0"/>
        <w:ind w:left="475" w:right="0" w:firstLine="0"/>
        <w:jc w:val="both"/>
        <w:rPr>
          <w:i/>
          <w:sz w:val="24"/>
        </w:rPr>
      </w:pPr>
      <w:bookmarkStart w:name="Example 38:" w:id="116"/>
      <w:bookmarkEnd w:id="11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38:</w:t>
      </w:r>
    </w:p>
    <w:p>
      <w:pPr>
        <w:pStyle w:val="BodyText"/>
        <w:rPr>
          <w:i/>
        </w:rPr>
      </w:pPr>
    </w:p>
    <w:p>
      <w:pPr>
        <w:spacing w:before="0"/>
        <w:ind w:left="475" w:right="598" w:firstLine="0"/>
        <w:jc w:val="both"/>
        <w:rPr>
          <w:i/>
          <w:sz w:val="24"/>
        </w:rPr>
      </w:pPr>
      <w:r>
        <w:rPr>
          <w:i/>
          <w:color w:val="231F20"/>
          <w:sz w:val="24"/>
        </w:rPr>
        <w:t>The governing body of a municipality is</w:t>
      </w:r>
      <w:r>
        <w:rPr>
          <w:i/>
          <w:color w:val="231F20"/>
          <w:sz w:val="24"/>
        </w:rPr>
        <w:t> considering a contract to retain an attorney to represent the municipality on a part-time basis. The attorney is to be an independent contractor and not an employee of the municipality. This paragraph does not authorize closing a </w:t>
      </w:r>
      <w:r>
        <w:rPr>
          <w:i/>
          <w:color w:val="231F20"/>
          <w:sz w:val="24"/>
        </w:rPr>
        <w:t>meeting of the governing body to select an attorney because the matter to be considered does not concern a public employee.</w:t>
      </w:r>
    </w:p>
    <w:p>
      <w:pPr>
        <w:pStyle w:val="BodyText"/>
        <w:rPr>
          <w:i/>
        </w:rPr>
      </w:pPr>
    </w:p>
    <w:p>
      <w:pPr>
        <w:spacing w:before="0"/>
        <w:ind w:left="475" w:right="0" w:firstLine="0"/>
        <w:jc w:val="both"/>
        <w:rPr>
          <w:i/>
          <w:sz w:val="24"/>
        </w:rPr>
      </w:pPr>
      <w:bookmarkStart w:name="Example 39:" w:id="117"/>
      <w:bookmarkEnd w:id="11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39:</w:t>
      </w:r>
    </w:p>
    <w:p>
      <w:pPr>
        <w:pStyle w:val="BodyText"/>
        <w:rPr>
          <w:i/>
        </w:rPr>
      </w:pPr>
    </w:p>
    <w:p>
      <w:pPr>
        <w:spacing w:line="240" w:lineRule="auto" w:before="0"/>
        <w:ind w:left="475" w:right="597" w:firstLine="0"/>
        <w:jc w:val="both"/>
        <w:rPr>
          <w:i/>
          <w:sz w:val="24"/>
        </w:rPr>
      </w:pPr>
      <w:r>
        <w:rPr>
          <w:i/>
          <w:color w:val="231F20"/>
          <w:sz w:val="24"/>
        </w:rPr>
        <w:t>A local school board, pursuant to statutory</w:t>
      </w:r>
      <w:r>
        <w:rPr>
          <w:i/>
          <w:color w:val="231F20"/>
          <w:sz w:val="24"/>
        </w:rPr>
        <w:t> authority, meets to appoint a person to fill a vacancy on the board. This paragraph does not authorize closing the meeting to consider that appointment because a board member is not an employee of the school district.</w:t>
      </w:r>
    </w:p>
    <w:p>
      <w:pPr>
        <w:pStyle w:val="BodyText"/>
        <w:spacing w:before="9"/>
        <w:rPr>
          <w:i/>
          <w:sz w:val="23"/>
        </w:rPr>
      </w:pPr>
    </w:p>
    <w:p>
      <w:pPr>
        <w:spacing w:before="1"/>
        <w:ind w:left="475" w:right="0" w:firstLine="0"/>
        <w:jc w:val="both"/>
        <w:rPr>
          <w:i/>
          <w:sz w:val="24"/>
        </w:rPr>
      </w:pPr>
      <w:bookmarkStart w:name="Example 40:" w:id="118"/>
      <w:bookmarkEnd w:id="118"/>
      <w:r>
        <w:rPr/>
      </w:r>
      <w:r>
        <w:rPr>
          <w:i/>
          <w:color w:val="231F20"/>
          <w:sz w:val="24"/>
          <w:u w:val="single" w:color="231F20"/>
        </w:rPr>
        <w:t>Example</w:t>
      </w:r>
      <w:r>
        <w:rPr>
          <w:i/>
          <w:color w:val="231F20"/>
          <w:spacing w:val="-6"/>
          <w:sz w:val="24"/>
          <w:u w:val="single" w:color="231F20"/>
        </w:rPr>
        <w:t> </w:t>
      </w:r>
      <w:r>
        <w:rPr>
          <w:i/>
          <w:color w:val="231F20"/>
          <w:spacing w:val="-5"/>
          <w:sz w:val="24"/>
          <w:u w:val="single" w:color="231F20"/>
        </w:rPr>
        <w:t>40:</w:t>
      </w:r>
    </w:p>
    <w:p>
      <w:pPr>
        <w:pStyle w:val="BodyText"/>
        <w:spacing w:before="11"/>
        <w:rPr>
          <w:i/>
          <w:sz w:val="23"/>
        </w:rPr>
      </w:pPr>
    </w:p>
    <w:p>
      <w:pPr>
        <w:spacing w:before="0"/>
        <w:ind w:left="475" w:right="598" w:firstLine="0"/>
        <w:jc w:val="both"/>
        <w:rPr>
          <w:i/>
          <w:sz w:val="24"/>
        </w:rPr>
      </w:pPr>
      <w:r>
        <w:rPr>
          <w:i/>
          <w:color w:val="231F20"/>
          <w:sz w:val="24"/>
        </w:rPr>
        <w:t>A city council meets to conduct a performance</w:t>
      </w:r>
      <w:r>
        <w:rPr>
          <w:i/>
          <w:color w:val="231F20"/>
          <w:sz w:val="24"/>
        </w:rPr>
        <w:t> evaluation of the city manager. The evaluation may</w:t>
      </w:r>
      <w:r>
        <w:rPr>
          <w:i/>
          <w:color w:val="231F20"/>
          <w:spacing w:val="-2"/>
          <w:sz w:val="24"/>
        </w:rPr>
        <w:t> </w:t>
      </w:r>
      <w:r>
        <w:rPr>
          <w:i/>
          <w:color w:val="231F20"/>
          <w:sz w:val="24"/>
        </w:rPr>
        <w:t>be</w:t>
      </w:r>
      <w:r>
        <w:rPr>
          <w:i/>
          <w:color w:val="231F20"/>
          <w:spacing w:val="-2"/>
          <w:sz w:val="24"/>
        </w:rPr>
        <w:t> </w:t>
      </w:r>
      <w:r>
        <w:rPr>
          <w:i/>
          <w:color w:val="231F20"/>
          <w:sz w:val="24"/>
        </w:rPr>
        <w:t>conducted</w:t>
      </w:r>
      <w:r>
        <w:rPr>
          <w:i/>
          <w:color w:val="231F20"/>
          <w:spacing w:val="-1"/>
          <w:sz w:val="24"/>
        </w:rPr>
        <w:t> </w:t>
      </w:r>
      <w:r>
        <w:rPr>
          <w:i/>
          <w:color w:val="231F20"/>
          <w:sz w:val="24"/>
        </w:rPr>
        <w:t>in</w:t>
      </w:r>
      <w:r>
        <w:rPr>
          <w:i/>
          <w:color w:val="231F20"/>
          <w:spacing w:val="-1"/>
          <w:sz w:val="24"/>
        </w:rPr>
        <w:t> </w:t>
      </w:r>
      <w:r>
        <w:rPr>
          <w:i/>
          <w:color w:val="231F20"/>
          <w:sz w:val="24"/>
        </w:rPr>
        <w:t>a</w:t>
      </w:r>
      <w:r>
        <w:rPr>
          <w:i/>
          <w:color w:val="231F20"/>
          <w:spacing w:val="-1"/>
          <w:sz w:val="24"/>
        </w:rPr>
        <w:t> </w:t>
      </w:r>
      <w:r>
        <w:rPr>
          <w:i/>
          <w:color w:val="231F20"/>
          <w:sz w:val="24"/>
        </w:rPr>
        <w:t>closed</w:t>
      </w:r>
      <w:r>
        <w:rPr>
          <w:i/>
          <w:color w:val="231F20"/>
          <w:spacing w:val="-1"/>
          <w:sz w:val="24"/>
        </w:rPr>
        <w:t> </w:t>
      </w:r>
      <w:r>
        <w:rPr>
          <w:i/>
          <w:color w:val="231F20"/>
          <w:sz w:val="24"/>
        </w:rPr>
        <w:t>meeting.</w:t>
      </w:r>
      <w:r>
        <w:rPr>
          <w:i/>
          <w:color w:val="231F20"/>
          <w:spacing w:val="-1"/>
          <w:sz w:val="24"/>
        </w:rPr>
        <w:t> </w:t>
      </w:r>
      <w:r>
        <w:rPr>
          <w:i/>
          <w:color w:val="231F20"/>
          <w:sz w:val="24"/>
        </w:rPr>
        <w:t>Although not expressly listed among the actions justifying closure under the limited personnel matters exception, it is closely related to the specified actions, all of which require discussion of an employee’s job performance and qualifications. For</w:t>
      </w:r>
      <w:r>
        <w:rPr>
          <w:i/>
          <w:color w:val="231F20"/>
          <w:spacing w:val="51"/>
          <w:sz w:val="24"/>
        </w:rPr>
        <w:t> </w:t>
      </w:r>
      <w:r>
        <w:rPr>
          <w:i/>
          <w:color w:val="231F20"/>
          <w:sz w:val="24"/>
        </w:rPr>
        <w:t>example,</w:t>
      </w:r>
      <w:r>
        <w:rPr>
          <w:i/>
          <w:color w:val="231F20"/>
          <w:spacing w:val="52"/>
          <w:sz w:val="24"/>
        </w:rPr>
        <w:t> </w:t>
      </w:r>
      <w:r>
        <w:rPr>
          <w:i/>
          <w:color w:val="231F20"/>
          <w:sz w:val="24"/>
        </w:rPr>
        <w:t>a</w:t>
      </w:r>
      <w:r>
        <w:rPr>
          <w:i/>
          <w:color w:val="231F20"/>
          <w:spacing w:val="54"/>
          <w:sz w:val="24"/>
        </w:rPr>
        <w:t> </w:t>
      </w:r>
      <w:r>
        <w:rPr>
          <w:i/>
          <w:color w:val="231F20"/>
          <w:sz w:val="24"/>
        </w:rPr>
        <w:t>performance</w:t>
      </w:r>
      <w:r>
        <w:rPr>
          <w:i/>
          <w:color w:val="231F20"/>
          <w:spacing w:val="53"/>
          <w:sz w:val="24"/>
        </w:rPr>
        <w:t> </w:t>
      </w:r>
      <w:r>
        <w:rPr>
          <w:i/>
          <w:color w:val="231F20"/>
          <w:sz w:val="24"/>
        </w:rPr>
        <w:t>evaluation</w:t>
      </w:r>
      <w:r>
        <w:rPr>
          <w:i/>
          <w:color w:val="231F20"/>
          <w:spacing w:val="52"/>
          <w:sz w:val="24"/>
        </w:rPr>
        <w:t> </w:t>
      </w:r>
      <w:r>
        <w:rPr>
          <w:i/>
          <w:color w:val="231F20"/>
          <w:spacing w:val="-2"/>
          <w:sz w:val="24"/>
        </w:rPr>
        <w:t>likely</w:t>
      </w:r>
    </w:p>
    <w:p>
      <w:pPr>
        <w:spacing w:after="0"/>
        <w:jc w:val="both"/>
        <w:rPr>
          <w:sz w:val="24"/>
        </w:rPr>
        <w:sectPr>
          <w:type w:val="continuous"/>
          <w:pgSz w:w="12240" w:h="15840"/>
          <w:pgMar w:header="660" w:footer="484" w:top="480" w:bottom="280" w:left="360" w:right="240"/>
          <w:cols w:num="2" w:equalWidth="0">
            <w:col w:w="5200" w:space="682"/>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would provide the basis for any promotion,</w:t>
      </w:r>
      <w:r>
        <w:rPr>
          <w:i/>
          <w:color w:val="231F20"/>
          <w:sz w:val="24"/>
        </w:rPr>
        <w:t> demotion, dismissal, assignment or resignation.</w:t>
      </w:r>
    </w:p>
    <w:p>
      <w:pPr>
        <w:pStyle w:val="BodyText"/>
        <w:spacing w:before="11"/>
        <w:rPr>
          <w:i/>
          <w:sz w:val="23"/>
        </w:rPr>
      </w:pPr>
    </w:p>
    <w:p>
      <w:pPr>
        <w:spacing w:before="0"/>
        <w:ind w:left="475" w:right="0" w:firstLine="0"/>
        <w:jc w:val="both"/>
        <w:rPr>
          <w:i/>
          <w:sz w:val="24"/>
        </w:rPr>
      </w:pPr>
      <w:bookmarkStart w:name="Example 41:" w:id="119"/>
      <w:bookmarkEnd w:id="119"/>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41:</w:t>
      </w:r>
    </w:p>
    <w:p>
      <w:pPr>
        <w:pStyle w:val="BodyText"/>
        <w:rPr>
          <w:i/>
        </w:rPr>
      </w:pPr>
    </w:p>
    <w:p>
      <w:pPr>
        <w:spacing w:before="0"/>
        <w:ind w:left="475" w:right="38" w:firstLine="0"/>
        <w:jc w:val="both"/>
        <w:rPr>
          <w:i/>
          <w:sz w:val="24"/>
        </w:rPr>
      </w:pPr>
      <w:r>
        <w:rPr>
          <w:i/>
          <w:color w:val="231F20"/>
          <w:sz w:val="24"/>
        </w:rPr>
        <w:t>During its regular meeting, a state commission</w:t>
      </w:r>
      <w:r>
        <w:rPr>
          <w:i/>
          <w:color w:val="231F20"/>
          <w:sz w:val="24"/>
        </w:rPr>
        <w:t> discusses a contract it has entered into with a person</w:t>
      </w:r>
      <w:r>
        <w:rPr>
          <w:i/>
          <w:color w:val="231F20"/>
          <w:spacing w:val="-5"/>
          <w:sz w:val="24"/>
        </w:rPr>
        <w:t> </w:t>
      </w:r>
      <w:r>
        <w:rPr>
          <w:i/>
          <w:color w:val="231F20"/>
          <w:sz w:val="24"/>
        </w:rPr>
        <w:t>who</w:t>
      </w:r>
      <w:r>
        <w:rPr>
          <w:i/>
          <w:color w:val="231F20"/>
          <w:spacing w:val="-5"/>
          <w:sz w:val="24"/>
        </w:rPr>
        <w:t> </w:t>
      </w:r>
      <w:r>
        <w:rPr>
          <w:i/>
          <w:color w:val="231F20"/>
          <w:sz w:val="24"/>
        </w:rPr>
        <w:t>happens</w:t>
      </w:r>
      <w:r>
        <w:rPr>
          <w:i/>
          <w:color w:val="231F20"/>
          <w:spacing w:val="-5"/>
          <w:sz w:val="24"/>
        </w:rPr>
        <w:t> </w:t>
      </w:r>
      <w:r>
        <w:rPr>
          <w:i/>
          <w:color w:val="231F20"/>
          <w:sz w:val="24"/>
        </w:rPr>
        <w:t>to</w:t>
      </w:r>
      <w:r>
        <w:rPr>
          <w:i/>
          <w:color w:val="231F20"/>
          <w:spacing w:val="-5"/>
          <w:sz w:val="24"/>
        </w:rPr>
        <w:t> </w:t>
      </w:r>
      <w:r>
        <w:rPr>
          <w:i/>
          <w:color w:val="231F20"/>
          <w:sz w:val="24"/>
        </w:rPr>
        <w:t>be</w:t>
      </w:r>
      <w:r>
        <w:rPr>
          <w:i/>
          <w:color w:val="231F20"/>
          <w:spacing w:val="-5"/>
          <w:sz w:val="24"/>
        </w:rPr>
        <w:t> </w:t>
      </w:r>
      <w:r>
        <w:rPr>
          <w:i/>
          <w:color w:val="231F20"/>
          <w:sz w:val="24"/>
        </w:rPr>
        <w:t>employed</w:t>
      </w:r>
      <w:r>
        <w:rPr>
          <w:i/>
          <w:color w:val="231F20"/>
          <w:spacing w:val="-5"/>
          <w:sz w:val="24"/>
        </w:rPr>
        <w:t> </w:t>
      </w:r>
      <w:r>
        <w:rPr>
          <w:i/>
          <w:color w:val="231F20"/>
          <w:sz w:val="24"/>
        </w:rPr>
        <w:t>by</w:t>
      </w:r>
      <w:r>
        <w:rPr>
          <w:i/>
          <w:color w:val="231F20"/>
          <w:spacing w:val="-5"/>
          <w:sz w:val="24"/>
        </w:rPr>
        <w:t> </w:t>
      </w:r>
      <w:r>
        <w:rPr>
          <w:i/>
          <w:color w:val="231F20"/>
          <w:sz w:val="24"/>
        </w:rPr>
        <w:t>a</w:t>
      </w:r>
      <w:r>
        <w:rPr>
          <w:i/>
          <w:color w:val="231F20"/>
          <w:spacing w:val="-5"/>
          <w:sz w:val="24"/>
        </w:rPr>
        <w:t> </w:t>
      </w:r>
      <w:r>
        <w:rPr>
          <w:i/>
          <w:color w:val="231F20"/>
          <w:sz w:val="24"/>
        </w:rPr>
        <w:t>nearby municipality.</w:t>
      </w:r>
      <w:r>
        <w:rPr>
          <w:i/>
          <w:color w:val="231F20"/>
          <w:spacing w:val="-2"/>
          <w:sz w:val="24"/>
        </w:rPr>
        <w:t> </w:t>
      </w:r>
      <w:r>
        <w:rPr>
          <w:i/>
          <w:color w:val="231F20"/>
          <w:sz w:val="24"/>
        </w:rPr>
        <w:t>The</w:t>
      </w:r>
      <w:r>
        <w:rPr>
          <w:i/>
          <w:color w:val="231F20"/>
          <w:spacing w:val="-3"/>
          <w:sz w:val="24"/>
        </w:rPr>
        <w:t> </w:t>
      </w:r>
      <w:r>
        <w:rPr>
          <w:i/>
          <w:color w:val="231F20"/>
          <w:sz w:val="24"/>
        </w:rPr>
        <w:t>state</w:t>
      </w:r>
      <w:r>
        <w:rPr>
          <w:i/>
          <w:color w:val="231F20"/>
          <w:spacing w:val="-3"/>
          <w:sz w:val="24"/>
        </w:rPr>
        <w:t> </w:t>
      </w:r>
      <w:r>
        <w:rPr>
          <w:i/>
          <w:color w:val="231F20"/>
          <w:sz w:val="24"/>
        </w:rPr>
        <w:t>commission</w:t>
      </w:r>
      <w:r>
        <w:rPr>
          <w:i/>
          <w:color w:val="231F20"/>
          <w:spacing w:val="-2"/>
          <w:sz w:val="24"/>
        </w:rPr>
        <w:t> </w:t>
      </w:r>
      <w:r>
        <w:rPr>
          <w:i/>
          <w:color w:val="231F20"/>
          <w:sz w:val="24"/>
        </w:rPr>
        <w:t>cannot</w:t>
      </w:r>
      <w:r>
        <w:rPr>
          <w:i/>
          <w:color w:val="231F20"/>
          <w:spacing w:val="-1"/>
          <w:sz w:val="24"/>
        </w:rPr>
        <w:t> </w:t>
      </w:r>
      <w:r>
        <w:rPr>
          <w:i/>
          <w:color w:val="231F20"/>
          <w:sz w:val="24"/>
        </w:rPr>
        <w:t>close its meeting to discuss the contractor under the limited personnel matters exception. Although the contractor also is a public employee, she is not an employee of the state commission. This exception generally applies only to discussions about individuals employed by the public body invoking the exception.</w:t>
      </w:r>
    </w:p>
    <w:p>
      <w:pPr>
        <w:pStyle w:val="BodyText"/>
        <w:rPr>
          <w:i/>
        </w:rPr>
      </w:pPr>
    </w:p>
    <w:p>
      <w:pPr>
        <w:pStyle w:val="BodyText"/>
        <w:ind w:left="475"/>
      </w:pPr>
      <w:bookmarkStart w:name="Commentary" w:id="120"/>
      <w:bookmarkEnd w:id="120"/>
      <w:r>
        <w:rPr/>
      </w:r>
      <w:r>
        <w:rPr>
          <w:color w:val="231F20"/>
          <w:spacing w:val="-2"/>
          <w:u w:val="single" w:color="231F20"/>
        </w:rPr>
        <w:t>Commentary</w:t>
      </w:r>
    </w:p>
    <w:p>
      <w:pPr>
        <w:pStyle w:val="BodyText"/>
      </w:pPr>
    </w:p>
    <w:p>
      <w:pPr>
        <w:pStyle w:val="BodyText"/>
        <w:ind w:left="475" w:right="40"/>
        <w:jc w:val="both"/>
      </w:pPr>
      <w:r>
        <w:rPr>
          <w:color w:val="231F20"/>
        </w:rPr>
        <w:t>In all cases, a public body</w:t>
      </w:r>
      <w:r>
        <w:rPr>
          <w:color w:val="231F20"/>
          <w:spacing w:val="-2"/>
        </w:rPr>
        <w:t> </w:t>
      </w:r>
      <w:r>
        <w:rPr>
          <w:color w:val="231F20"/>
        </w:rPr>
        <w:t>must take final action on a personnel matter falling within this exception in open session. This ensures that all final actions taken on personnel matters are announced publicly and the position of </w:t>
      </w:r>
      <w:r>
        <w:rPr>
          <w:color w:val="231F20"/>
        </w:rPr>
        <w:t>each member on the issue is recorded in the official </w:t>
      </w:r>
      <w:r>
        <w:rPr>
          <w:color w:val="231F20"/>
          <w:spacing w:val="-2"/>
        </w:rPr>
        <w:t>minutes.</w:t>
      </w:r>
    </w:p>
    <w:p>
      <w:pPr>
        <w:pStyle w:val="BodyText"/>
      </w:pPr>
    </w:p>
    <w:p>
      <w:pPr>
        <w:spacing w:before="1"/>
        <w:ind w:left="475" w:right="0" w:firstLine="0"/>
        <w:jc w:val="left"/>
        <w:rPr>
          <w:i/>
          <w:sz w:val="24"/>
        </w:rPr>
      </w:pPr>
      <w:bookmarkStart w:name="Example 42:" w:id="121"/>
      <w:bookmarkEnd w:id="12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42:</w:t>
      </w:r>
    </w:p>
    <w:p>
      <w:pPr>
        <w:pStyle w:val="BodyText"/>
        <w:rPr>
          <w:i/>
        </w:rPr>
      </w:pPr>
    </w:p>
    <w:p>
      <w:pPr>
        <w:spacing w:line="240" w:lineRule="auto" w:before="0"/>
        <w:ind w:left="475" w:right="39" w:firstLine="0"/>
        <w:jc w:val="both"/>
        <w:rPr>
          <w:i/>
          <w:sz w:val="24"/>
        </w:rPr>
      </w:pPr>
      <w:r>
        <w:rPr>
          <w:i/>
          <w:color w:val="231F20"/>
          <w:sz w:val="24"/>
        </w:rPr>
        <w:t>A school board meets to consider applicants for</w:t>
      </w:r>
      <w:r>
        <w:rPr>
          <w:i/>
          <w:color w:val="231F20"/>
          <w:sz w:val="24"/>
        </w:rPr>
        <w:t> the position of superintendent. Discussion of the applicants’</w:t>
      </w:r>
      <w:r>
        <w:rPr>
          <w:i/>
          <w:color w:val="231F20"/>
          <w:spacing w:val="-2"/>
          <w:sz w:val="24"/>
        </w:rPr>
        <w:t> </w:t>
      </w:r>
      <w:r>
        <w:rPr>
          <w:i/>
          <w:color w:val="231F20"/>
          <w:sz w:val="24"/>
        </w:rPr>
        <w:t>qualifications</w:t>
      </w:r>
      <w:r>
        <w:rPr>
          <w:i/>
          <w:color w:val="231F20"/>
          <w:spacing w:val="-1"/>
          <w:sz w:val="24"/>
        </w:rPr>
        <w:t> </w:t>
      </w:r>
      <w:r>
        <w:rPr>
          <w:i/>
          <w:color w:val="231F20"/>
          <w:sz w:val="24"/>
        </w:rPr>
        <w:t>is</w:t>
      </w:r>
      <w:r>
        <w:rPr>
          <w:i/>
          <w:color w:val="231F20"/>
          <w:spacing w:val="-1"/>
          <w:sz w:val="24"/>
        </w:rPr>
        <w:t> </w:t>
      </w:r>
      <w:r>
        <w:rPr>
          <w:i/>
          <w:color w:val="231F20"/>
          <w:sz w:val="24"/>
        </w:rPr>
        <w:t>conducted</w:t>
      </w:r>
      <w:r>
        <w:rPr>
          <w:i/>
          <w:color w:val="231F20"/>
          <w:spacing w:val="-1"/>
          <w:sz w:val="24"/>
        </w:rPr>
        <w:t> </w:t>
      </w:r>
      <w:r>
        <w:rPr>
          <w:i/>
          <w:color w:val="231F20"/>
          <w:sz w:val="24"/>
        </w:rPr>
        <w:t>in</w:t>
      </w:r>
      <w:r>
        <w:rPr>
          <w:i/>
          <w:color w:val="231F20"/>
          <w:spacing w:val="-1"/>
          <w:sz w:val="24"/>
        </w:rPr>
        <w:t> </w:t>
      </w:r>
      <w:r>
        <w:rPr>
          <w:i/>
          <w:color w:val="231F20"/>
          <w:sz w:val="24"/>
        </w:rPr>
        <w:t>closed session but the final decision or vote of the board with respect to hiring one of the applicants as superintendent must be taken in open session.</w:t>
      </w:r>
    </w:p>
    <w:p>
      <w:pPr>
        <w:pStyle w:val="BodyText"/>
        <w:spacing w:before="9"/>
        <w:rPr>
          <w:i/>
          <w:sz w:val="23"/>
        </w:rPr>
      </w:pPr>
    </w:p>
    <w:p>
      <w:pPr>
        <w:spacing w:before="0"/>
        <w:ind w:left="475" w:right="0" w:firstLine="0"/>
        <w:jc w:val="left"/>
        <w:rPr>
          <w:i/>
          <w:sz w:val="24"/>
        </w:rPr>
      </w:pPr>
      <w:bookmarkStart w:name="Example 43:" w:id="122"/>
      <w:bookmarkEnd w:id="12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43:</w:t>
      </w:r>
    </w:p>
    <w:p>
      <w:pPr>
        <w:pStyle w:val="BodyText"/>
        <w:rPr>
          <w:i/>
        </w:rPr>
      </w:pPr>
    </w:p>
    <w:p>
      <w:pPr>
        <w:spacing w:before="0"/>
        <w:ind w:left="475" w:right="38" w:firstLine="0"/>
        <w:jc w:val="both"/>
        <w:rPr>
          <w:i/>
          <w:sz w:val="24"/>
        </w:rPr>
      </w:pPr>
      <w:r>
        <w:rPr>
          <w:i/>
          <w:color w:val="231F20"/>
          <w:sz w:val="24"/>
        </w:rPr>
        <w:t>An administrative licensing board meets in</w:t>
      </w:r>
      <w:r>
        <w:rPr>
          <w:i/>
          <w:color w:val="231F20"/>
          <w:sz w:val="24"/>
        </w:rPr>
        <w:t> closed session to review complaints against the executive director. The board takes no action. Therefore, nothing needs to be presented by the board during open session.</w:t>
      </w:r>
    </w:p>
    <w:p>
      <w:pPr>
        <w:pStyle w:val="BodyText"/>
        <w:rPr>
          <w:i/>
        </w:rPr>
      </w:pPr>
    </w:p>
    <w:p>
      <w:pPr>
        <w:pStyle w:val="BodyText"/>
        <w:ind w:left="475"/>
      </w:pPr>
      <w:bookmarkStart w:name="Commentary" w:id="123"/>
      <w:bookmarkEnd w:id="123"/>
      <w:r>
        <w:rPr/>
      </w:r>
      <w:r>
        <w:rPr>
          <w:color w:val="231F20"/>
          <w:spacing w:val="-2"/>
          <w:u w:val="single" w:color="231F20"/>
        </w:rPr>
        <w:t>Commentary</w:t>
      </w:r>
    </w:p>
    <w:p>
      <w:pPr>
        <w:pStyle w:val="BodyText"/>
        <w:spacing w:before="90"/>
        <w:ind w:left="475" w:right="598"/>
        <w:jc w:val="both"/>
      </w:pPr>
      <w:r>
        <w:rPr/>
        <w:br w:type="column"/>
      </w:r>
      <w:r>
        <w:rPr>
          <w:color w:val="231F20"/>
        </w:rPr>
        <w:t>hearing.</w:t>
      </w:r>
      <w:r>
        <w:rPr>
          <w:color w:val="231F20"/>
          <w:spacing w:val="-1"/>
        </w:rPr>
        <w:t> </w:t>
      </w:r>
      <w:r>
        <w:rPr>
          <w:color w:val="231F20"/>
        </w:rPr>
        <w:t>This provision</w:t>
      </w:r>
      <w:r>
        <w:rPr>
          <w:color w:val="231F20"/>
          <w:spacing w:val="-1"/>
        </w:rPr>
        <w:t> </w:t>
      </w:r>
      <w:r>
        <w:rPr>
          <w:color w:val="231F20"/>
        </w:rPr>
        <w:t>does not confer the right to a hearing, but when an employee has a statutory or constitutional right to a hearing spelled out under another federal or state law, the public body cannot rely on the limited personnel matters exception to close the hearing if the employee wants it to be open. For example,</w:t>
      </w:r>
      <w:r>
        <w:rPr>
          <w:color w:val="231F20"/>
        </w:rPr>
        <w:t> the</w:t>
      </w:r>
      <w:r>
        <w:rPr>
          <w:color w:val="231F20"/>
        </w:rPr>
        <w:t> requirements of due process of</w:t>
      </w:r>
      <w:r>
        <w:rPr>
          <w:color w:val="231F20"/>
          <w:spacing w:val="40"/>
        </w:rPr>
        <w:t> </w:t>
      </w:r>
      <w:r>
        <w:rPr>
          <w:color w:val="231F20"/>
        </w:rPr>
        <w:t>law, a constitutional right, often mandate that before a right or privilege may be denied by a public</w:t>
      </w:r>
      <w:r>
        <w:rPr>
          <w:color w:val="231F20"/>
          <w:spacing w:val="-1"/>
        </w:rPr>
        <w:t> </w:t>
      </w:r>
      <w:r>
        <w:rPr>
          <w:color w:val="231F20"/>
        </w:rPr>
        <w:t>body, the</w:t>
      </w:r>
      <w:r>
        <w:rPr>
          <w:color w:val="231F20"/>
          <w:spacing w:val="-1"/>
        </w:rPr>
        <w:t> </w:t>
      </w:r>
      <w:r>
        <w:rPr>
          <w:color w:val="231F20"/>
        </w:rPr>
        <w:t>person possessing</w:t>
      </w:r>
      <w:r>
        <w:rPr>
          <w:color w:val="231F20"/>
          <w:spacing w:val="-2"/>
        </w:rPr>
        <w:t> </w:t>
      </w:r>
      <w:r>
        <w:rPr>
          <w:color w:val="231F20"/>
        </w:rPr>
        <w:t>or seeking to acquire the right must be provided notice of the anticipated action and an opportunity to be</w:t>
      </w:r>
      <w:r>
        <w:rPr>
          <w:color w:val="231F20"/>
          <w:spacing w:val="40"/>
        </w:rPr>
        <w:t> </w:t>
      </w:r>
      <w:r>
        <w:rPr>
          <w:color w:val="231F20"/>
        </w:rPr>
        <w:t>heard</w:t>
      </w:r>
      <w:r>
        <w:rPr>
          <w:color w:val="231F20"/>
          <w:spacing w:val="-2"/>
        </w:rPr>
        <w:t> </w:t>
      </w:r>
      <w:r>
        <w:rPr>
          <w:color w:val="231F20"/>
        </w:rPr>
        <w:t>prior</w:t>
      </w:r>
      <w:r>
        <w:rPr>
          <w:color w:val="231F20"/>
          <w:spacing w:val="-3"/>
        </w:rPr>
        <w:t> </w:t>
      </w:r>
      <w:r>
        <w:rPr>
          <w:color w:val="231F20"/>
        </w:rPr>
        <w:t>to a</w:t>
      </w:r>
      <w:r>
        <w:rPr>
          <w:color w:val="231F20"/>
          <w:spacing w:val="-3"/>
        </w:rPr>
        <w:t> </w:t>
      </w:r>
      <w:r>
        <w:rPr>
          <w:color w:val="231F20"/>
        </w:rPr>
        <w:t>final decision. If</w:t>
      </w:r>
      <w:r>
        <w:rPr>
          <w:color w:val="231F20"/>
          <w:spacing w:val="-3"/>
        </w:rPr>
        <w:t> </w:t>
      </w:r>
      <w:r>
        <w:rPr>
          <w:color w:val="231F20"/>
        </w:rPr>
        <w:t>an employee</w:t>
      </w:r>
      <w:r>
        <w:rPr>
          <w:color w:val="231F20"/>
          <w:spacing w:val="-1"/>
        </w:rPr>
        <w:t> </w:t>
      </w:r>
      <w:r>
        <w:rPr>
          <w:color w:val="231F20"/>
        </w:rPr>
        <w:t>of a</w:t>
      </w:r>
      <w:r>
        <w:rPr>
          <w:color w:val="231F20"/>
          <w:spacing w:val="-4"/>
        </w:rPr>
        <w:t> </w:t>
      </w:r>
      <w:r>
        <w:rPr>
          <w:color w:val="231F20"/>
        </w:rPr>
        <w:t>public</w:t>
      </w:r>
      <w:r>
        <w:rPr>
          <w:color w:val="231F20"/>
          <w:spacing w:val="-4"/>
        </w:rPr>
        <w:t> </w:t>
      </w:r>
      <w:r>
        <w:rPr>
          <w:color w:val="231F20"/>
        </w:rPr>
        <w:t>body</w:t>
      </w:r>
      <w:r>
        <w:rPr>
          <w:color w:val="231F20"/>
          <w:spacing w:val="-8"/>
        </w:rPr>
        <w:t> </w:t>
      </w:r>
      <w:r>
        <w:rPr>
          <w:color w:val="231F20"/>
        </w:rPr>
        <w:t>is</w:t>
      </w:r>
      <w:r>
        <w:rPr>
          <w:color w:val="231F20"/>
          <w:spacing w:val="-1"/>
        </w:rPr>
        <w:t> </w:t>
      </w:r>
      <w:r>
        <w:rPr>
          <w:color w:val="231F20"/>
        </w:rPr>
        <w:t>entitled</w:t>
      </w:r>
      <w:r>
        <w:rPr>
          <w:color w:val="231F20"/>
          <w:spacing w:val="-3"/>
        </w:rPr>
        <w:t> </w:t>
      </w:r>
      <w:r>
        <w:rPr>
          <w:color w:val="231F20"/>
        </w:rPr>
        <w:t>to</w:t>
      </w:r>
      <w:r>
        <w:rPr>
          <w:color w:val="231F20"/>
          <w:spacing w:val="-3"/>
        </w:rPr>
        <w:t> </w:t>
      </w:r>
      <w:r>
        <w:rPr>
          <w:color w:val="231F20"/>
        </w:rPr>
        <w:t>such</w:t>
      </w:r>
      <w:r>
        <w:rPr>
          <w:color w:val="231F20"/>
          <w:spacing w:val="-3"/>
        </w:rPr>
        <w:t> </w:t>
      </w:r>
      <w:r>
        <w:rPr>
          <w:color w:val="231F20"/>
        </w:rPr>
        <w:t>a</w:t>
      </w:r>
      <w:r>
        <w:rPr>
          <w:color w:val="231F20"/>
          <w:spacing w:val="-2"/>
        </w:rPr>
        <w:t> </w:t>
      </w:r>
      <w:r>
        <w:rPr>
          <w:color w:val="231F20"/>
        </w:rPr>
        <w:t>hearing</w:t>
      </w:r>
      <w:r>
        <w:rPr>
          <w:color w:val="231F20"/>
          <w:spacing w:val="-6"/>
        </w:rPr>
        <w:t> </w:t>
      </w:r>
      <w:r>
        <w:rPr>
          <w:color w:val="231F20"/>
        </w:rPr>
        <w:t>before the public body can take disciplinary or other adverse action against the employee, the employee may demand and obtain an open hearing. Similarly, even if no law provides an employee with the right to a hearing, a public body that elects to give an employee the opportunity to be heard in connection with a personnel matter covered by the exception must conduct the hearing in open session at the employee’s request.</w:t>
      </w:r>
    </w:p>
    <w:p>
      <w:pPr>
        <w:pStyle w:val="BodyText"/>
      </w:pPr>
    </w:p>
    <w:p>
      <w:pPr>
        <w:spacing w:before="0"/>
        <w:ind w:left="475" w:right="0" w:firstLine="0"/>
        <w:jc w:val="both"/>
        <w:rPr>
          <w:i/>
          <w:sz w:val="24"/>
        </w:rPr>
      </w:pPr>
      <w:bookmarkStart w:name="Example 44:" w:id="124"/>
      <w:bookmarkEnd w:id="12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44:</w:t>
      </w:r>
    </w:p>
    <w:p>
      <w:pPr>
        <w:pStyle w:val="BodyText"/>
        <w:rPr>
          <w:i/>
        </w:rPr>
      </w:pPr>
    </w:p>
    <w:p>
      <w:pPr>
        <w:spacing w:line="240" w:lineRule="auto" w:before="0"/>
        <w:ind w:left="475" w:right="598" w:firstLine="0"/>
        <w:jc w:val="both"/>
        <w:rPr>
          <w:i/>
          <w:sz w:val="24"/>
        </w:rPr>
      </w:pPr>
      <w:r>
        <w:rPr>
          <w:i/>
          <w:color w:val="231F20"/>
          <w:sz w:val="24"/>
        </w:rPr>
        <w:t>A board of county commissioners meets to</w:t>
      </w:r>
      <w:r>
        <w:rPr>
          <w:i/>
          <w:color w:val="231F20"/>
          <w:sz w:val="24"/>
        </w:rPr>
        <w:t> discuss a complaint that a county building inspector had attempted to rob a private citizen while on duty. The board is </w:t>
      </w:r>
      <w:r>
        <w:rPr>
          <w:i/>
          <w:color w:val="231F20"/>
          <w:sz w:val="24"/>
        </w:rPr>
        <w:t>considering disciplinary action but wishes to wait until law enforcement authorities have completed their investigation. The board meets, goes into executive session, and decides to suspend the employee with pay. The board takes action in open session. The employee demands</w:t>
      </w:r>
      <w:r>
        <w:rPr>
          <w:i/>
          <w:color w:val="231F20"/>
          <w:sz w:val="24"/>
        </w:rPr>
        <w:t> an immediate</w:t>
      </w:r>
      <w:r>
        <w:rPr>
          <w:i/>
          <w:color w:val="231F20"/>
          <w:spacing w:val="-6"/>
          <w:sz w:val="24"/>
        </w:rPr>
        <w:t> </w:t>
      </w:r>
      <w:r>
        <w:rPr>
          <w:i/>
          <w:color w:val="231F20"/>
          <w:sz w:val="24"/>
        </w:rPr>
        <w:t>open</w:t>
      </w:r>
      <w:r>
        <w:rPr>
          <w:i/>
          <w:color w:val="231F20"/>
          <w:spacing w:val="-5"/>
          <w:sz w:val="24"/>
        </w:rPr>
        <w:t> </w:t>
      </w:r>
      <w:r>
        <w:rPr>
          <w:i/>
          <w:color w:val="231F20"/>
          <w:sz w:val="24"/>
        </w:rPr>
        <w:t>hearing,</w:t>
      </w:r>
      <w:r>
        <w:rPr>
          <w:i/>
          <w:color w:val="231F20"/>
          <w:spacing w:val="-5"/>
          <w:sz w:val="24"/>
        </w:rPr>
        <w:t> </w:t>
      </w:r>
      <w:r>
        <w:rPr>
          <w:i/>
          <w:color w:val="231F20"/>
          <w:sz w:val="24"/>
        </w:rPr>
        <w:t>even</w:t>
      </w:r>
      <w:r>
        <w:rPr>
          <w:i/>
          <w:color w:val="231F20"/>
          <w:spacing w:val="-5"/>
          <w:sz w:val="24"/>
        </w:rPr>
        <w:t> </w:t>
      </w:r>
      <w:r>
        <w:rPr>
          <w:i/>
          <w:color w:val="231F20"/>
          <w:sz w:val="24"/>
        </w:rPr>
        <w:t>though</w:t>
      </w:r>
      <w:r>
        <w:rPr>
          <w:i/>
          <w:color w:val="231F20"/>
          <w:spacing w:val="-5"/>
          <w:sz w:val="24"/>
        </w:rPr>
        <w:t> </w:t>
      </w:r>
      <w:r>
        <w:rPr>
          <w:i/>
          <w:color w:val="231F20"/>
          <w:sz w:val="24"/>
        </w:rPr>
        <w:t>the</w:t>
      </w:r>
      <w:r>
        <w:rPr>
          <w:i/>
          <w:color w:val="231F20"/>
          <w:spacing w:val="-6"/>
          <w:sz w:val="24"/>
        </w:rPr>
        <w:t> </w:t>
      </w:r>
      <w:r>
        <w:rPr>
          <w:i/>
          <w:color w:val="231F20"/>
          <w:sz w:val="24"/>
        </w:rPr>
        <w:t>county personnel policy does not provide for a hearing for</w:t>
      </w:r>
      <w:r>
        <w:rPr>
          <w:i/>
          <w:color w:val="231F20"/>
          <w:spacing w:val="-6"/>
          <w:sz w:val="24"/>
        </w:rPr>
        <w:t> </w:t>
      </w:r>
      <w:r>
        <w:rPr>
          <w:i/>
          <w:color w:val="231F20"/>
          <w:sz w:val="24"/>
        </w:rPr>
        <w:t>suspension.</w:t>
      </w:r>
      <w:r>
        <w:rPr>
          <w:i/>
          <w:color w:val="231F20"/>
          <w:spacing w:val="-6"/>
          <w:sz w:val="24"/>
        </w:rPr>
        <w:t> </w:t>
      </w:r>
      <w:r>
        <w:rPr>
          <w:i/>
          <w:color w:val="231F20"/>
          <w:sz w:val="24"/>
        </w:rPr>
        <w:t>If</w:t>
      </w:r>
      <w:r>
        <w:rPr>
          <w:i/>
          <w:color w:val="231F20"/>
          <w:spacing w:val="-6"/>
          <w:sz w:val="24"/>
        </w:rPr>
        <w:t> </w:t>
      </w:r>
      <w:r>
        <w:rPr>
          <w:i/>
          <w:color w:val="231F20"/>
          <w:sz w:val="24"/>
        </w:rPr>
        <w:t>the</w:t>
      </w:r>
      <w:r>
        <w:rPr>
          <w:i/>
          <w:color w:val="231F20"/>
          <w:spacing w:val="-6"/>
          <w:sz w:val="24"/>
        </w:rPr>
        <w:t> </w:t>
      </w:r>
      <w:r>
        <w:rPr>
          <w:i/>
          <w:color w:val="231F20"/>
          <w:sz w:val="24"/>
        </w:rPr>
        <w:t>commission</w:t>
      </w:r>
      <w:r>
        <w:rPr>
          <w:i/>
          <w:color w:val="231F20"/>
          <w:spacing w:val="-6"/>
          <w:sz w:val="24"/>
        </w:rPr>
        <w:t> </w:t>
      </w:r>
      <w:r>
        <w:rPr>
          <w:i/>
          <w:color w:val="231F20"/>
          <w:sz w:val="24"/>
        </w:rPr>
        <w:t>is</w:t>
      </w:r>
      <w:r>
        <w:rPr>
          <w:i/>
          <w:color w:val="231F20"/>
          <w:spacing w:val="-6"/>
          <w:sz w:val="24"/>
        </w:rPr>
        <w:t> </w:t>
      </w:r>
      <w:r>
        <w:rPr>
          <w:i/>
          <w:color w:val="231F20"/>
          <w:sz w:val="24"/>
        </w:rPr>
        <w:t>not</w:t>
      </w:r>
      <w:r>
        <w:rPr>
          <w:i/>
          <w:color w:val="231F20"/>
          <w:spacing w:val="-6"/>
          <w:sz w:val="24"/>
        </w:rPr>
        <w:t> </w:t>
      </w:r>
      <w:r>
        <w:rPr>
          <w:i/>
          <w:color w:val="231F20"/>
          <w:sz w:val="24"/>
        </w:rPr>
        <w:t>required by its policies or the state and federal constitutions to conduct a hearing at this stage, no hearing need be granted.</w:t>
      </w:r>
    </w:p>
    <w:p>
      <w:pPr>
        <w:pStyle w:val="BodyText"/>
        <w:spacing w:before="10"/>
        <w:rPr>
          <w:i/>
          <w:sz w:val="23"/>
        </w:rPr>
      </w:pPr>
    </w:p>
    <w:p>
      <w:pPr>
        <w:spacing w:before="0"/>
        <w:ind w:left="475" w:right="0" w:firstLine="0"/>
        <w:jc w:val="both"/>
        <w:rPr>
          <w:i/>
          <w:sz w:val="24"/>
        </w:rPr>
      </w:pPr>
      <w:bookmarkStart w:name="Example 45:" w:id="125"/>
      <w:bookmarkEnd w:id="12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45:</w:t>
      </w:r>
    </w:p>
    <w:p>
      <w:pPr>
        <w:spacing w:after="0"/>
        <w:jc w:val="both"/>
        <w:rPr>
          <w:sz w:val="24"/>
        </w:rPr>
        <w:sectPr>
          <w:type w:val="continuous"/>
          <w:pgSz w:w="12240" w:h="15840"/>
          <w:pgMar w:header="660" w:footer="484" w:top="480" w:bottom="280" w:left="360" w:right="240"/>
          <w:cols w:num="2" w:equalWidth="0">
            <w:col w:w="5198" w:space="685"/>
            <w:col w:w="5757"/>
          </w:cols>
        </w:sectPr>
      </w:pPr>
    </w:p>
    <w:p>
      <w:pPr>
        <w:pStyle w:val="BodyText"/>
        <w:spacing w:before="2"/>
        <w:rPr>
          <w:i/>
          <w:sz w:val="16"/>
        </w:rPr>
      </w:pPr>
    </w:p>
    <w:p>
      <w:pPr>
        <w:spacing w:after="0"/>
        <w:rPr>
          <w:sz w:val="16"/>
        </w:rPr>
        <w:sectPr>
          <w:type w:val="continuous"/>
          <w:pgSz w:w="12240" w:h="15840"/>
          <w:pgMar w:header="660" w:footer="484" w:top="480" w:bottom="280" w:left="360" w:right="240"/>
        </w:sectPr>
      </w:pPr>
    </w:p>
    <w:p>
      <w:pPr>
        <w:pStyle w:val="BodyText"/>
        <w:spacing w:before="90"/>
        <w:ind w:left="475"/>
      </w:pPr>
      <w:r>
        <w:rPr>
          <w:color w:val="231F20"/>
        </w:rPr>
        <w:t>The exception states that it does not preclude an individual</w:t>
      </w:r>
      <w:r>
        <w:rPr>
          <w:color w:val="231F20"/>
          <w:spacing w:val="48"/>
        </w:rPr>
        <w:t> </w:t>
      </w:r>
      <w:r>
        <w:rPr>
          <w:color w:val="231F20"/>
        </w:rPr>
        <w:t>employee</w:t>
      </w:r>
      <w:r>
        <w:rPr>
          <w:color w:val="231F20"/>
          <w:spacing w:val="47"/>
        </w:rPr>
        <w:t> </w:t>
      </w:r>
      <w:r>
        <w:rPr>
          <w:color w:val="231F20"/>
        </w:rPr>
        <w:t>from</w:t>
      </w:r>
      <w:r>
        <w:rPr>
          <w:color w:val="231F20"/>
          <w:spacing w:val="48"/>
        </w:rPr>
        <w:t> </w:t>
      </w:r>
      <w:r>
        <w:rPr>
          <w:color w:val="231F20"/>
        </w:rPr>
        <w:t>demanding</w:t>
      </w:r>
      <w:r>
        <w:rPr>
          <w:color w:val="231F20"/>
          <w:spacing w:val="46"/>
        </w:rPr>
        <w:t> </w:t>
      </w:r>
      <w:r>
        <w:rPr>
          <w:color w:val="231F20"/>
        </w:rPr>
        <w:t>an</w:t>
      </w:r>
      <w:r>
        <w:rPr>
          <w:color w:val="231F20"/>
          <w:spacing w:val="49"/>
        </w:rPr>
        <w:t> </w:t>
      </w:r>
      <w:r>
        <w:rPr>
          <w:color w:val="231F20"/>
          <w:spacing w:val="-4"/>
        </w:rPr>
        <w:t>open</w:t>
      </w:r>
    </w:p>
    <w:p>
      <w:pPr>
        <w:spacing w:before="90"/>
        <w:ind w:left="475" w:right="0" w:firstLine="0"/>
        <w:jc w:val="left"/>
        <w:rPr>
          <w:i/>
          <w:sz w:val="24"/>
        </w:rPr>
      </w:pPr>
      <w:r>
        <w:rPr/>
        <w:br w:type="column"/>
      </w:r>
      <w:r>
        <w:rPr>
          <w:i/>
          <w:color w:val="231F20"/>
          <w:sz w:val="24"/>
        </w:rPr>
        <w:t>An</w:t>
      </w:r>
      <w:r>
        <w:rPr>
          <w:i/>
          <w:color w:val="231F20"/>
          <w:spacing w:val="40"/>
          <w:sz w:val="24"/>
        </w:rPr>
        <w:t> </w:t>
      </w:r>
      <w:r>
        <w:rPr>
          <w:i/>
          <w:color w:val="231F20"/>
          <w:sz w:val="24"/>
        </w:rPr>
        <w:t>employee</w:t>
      </w:r>
      <w:r>
        <w:rPr>
          <w:i/>
          <w:color w:val="231F20"/>
          <w:spacing w:val="40"/>
          <w:sz w:val="24"/>
        </w:rPr>
        <w:t> </w:t>
      </w:r>
      <w:r>
        <w:rPr>
          <w:i/>
          <w:color w:val="231F20"/>
          <w:sz w:val="24"/>
        </w:rPr>
        <w:t>of</w:t>
      </w:r>
      <w:r>
        <w:rPr>
          <w:i/>
          <w:color w:val="231F20"/>
          <w:spacing w:val="40"/>
          <w:sz w:val="24"/>
        </w:rPr>
        <w:t> </w:t>
      </w:r>
      <w:r>
        <w:rPr>
          <w:i/>
          <w:color w:val="231F20"/>
          <w:sz w:val="24"/>
        </w:rPr>
        <w:t>AAA</w:t>
      </w:r>
      <w:r>
        <w:rPr>
          <w:i/>
          <w:color w:val="231F20"/>
          <w:spacing w:val="40"/>
          <w:sz w:val="24"/>
        </w:rPr>
        <w:t> </w:t>
      </w:r>
      <w:r>
        <w:rPr>
          <w:i/>
          <w:color w:val="231F20"/>
          <w:sz w:val="24"/>
        </w:rPr>
        <w:t>City</w:t>
      </w:r>
      <w:r>
        <w:rPr>
          <w:i/>
          <w:color w:val="231F20"/>
          <w:spacing w:val="40"/>
          <w:sz w:val="24"/>
        </w:rPr>
        <w:t> </w:t>
      </w:r>
      <w:r>
        <w:rPr>
          <w:i/>
          <w:color w:val="231F20"/>
          <w:sz w:val="24"/>
        </w:rPr>
        <w:t>is</w:t>
      </w:r>
      <w:r>
        <w:rPr>
          <w:i/>
          <w:color w:val="231F20"/>
          <w:spacing w:val="40"/>
          <w:sz w:val="24"/>
        </w:rPr>
        <w:t> </w:t>
      </w:r>
      <w:r>
        <w:rPr>
          <w:i/>
          <w:color w:val="231F20"/>
          <w:sz w:val="24"/>
        </w:rPr>
        <w:t>notified</w:t>
      </w:r>
      <w:r>
        <w:rPr>
          <w:i/>
          <w:color w:val="231F20"/>
          <w:spacing w:val="40"/>
          <w:sz w:val="24"/>
        </w:rPr>
        <w:t> </w:t>
      </w:r>
      <w:r>
        <w:rPr>
          <w:i/>
          <w:color w:val="231F20"/>
          <w:sz w:val="24"/>
        </w:rPr>
        <w:t>by</w:t>
      </w:r>
      <w:r>
        <w:rPr>
          <w:i/>
          <w:color w:val="231F20"/>
          <w:spacing w:val="40"/>
          <w:sz w:val="24"/>
        </w:rPr>
        <w:t> </w:t>
      </w:r>
      <w:r>
        <w:rPr>
          <w:i/>
          <w:color w:val="231F20"/>
          <w:sz w:val="24"/>
        </w:rPr>
        <w:t>her</w:t>
      </w:r>
      <w:r>
        <w:rPr>
          <w:i/>
          <w:color w:val="231F20"/>
          <w:spacing w:val="40"/>
          <w:sz w:val="24"/>
        </w:rPr>
        <w:t> </w:t>
      </w:r>
      <w:r>
        <w:rPr>
          <w:i/>
          <w:color w:val="231F20"/>
          <w:sz w:val="24"/>
        </w:rPr>
        <w:t>supervisor</w:t>
      </w:r>
      <w:r>
        <w:rPr>
          <w:i/>
          <w:color w:val="231F20"/>
          <w:spacing w:val="62"/>
          <w:sz w:val="24"/>
        </w:rPr>
        <w:t> </w:t>
      </w:r>
      <w:r>
        <w:rPr>
          <w:i/>
          <w:color w:val="231F20"/>
          <w:sz w:val="24"/>
        </w:rPr>
        <w:t>that</w:t>
      </w:r>
      <w:r>
        <w:rPr>
          <w:i/>
          <w:color w:val="231F20"/>
          <w:spacing w:val="63"/>
          <w:sz w:val="24"/>
        </w:rPr>
        <w:t> </w:t>
      </w:r>
      <w:r>
        <w:rPr>
          <w:i/>
          <w:color w:val="231F20"/>
          <w:sz w:val="24"/>
        </w:rPr>
        <w:t>she</w:t>
      </w:r>
      <w:r>
        <w:rPr>
          <w:i/>
          <w:color w:val="231F20"/>
          <w:spacing w:val="61"/>
          <w:sz w:val="24"/>
        </w:rPr>
        <w:t> </w:t>
      </w:r>
      <w:r>
        <w:rPr>
          <w:i/>
          <w:color w:val="231F20"/>
          <w:sz w:val="24"/>
        </w:rPr>
        <w:t>was</w:t>
      </w:r>
      <w:r>
        <w:rPr>
          <w:i/>
          <w:color w:val="231F20"/>
          <w:spacing w:val="60"/>
          <w:sz w:val="24"/>
        </w:rPr>
        <w:t> </w:t>
      </w:r>
      <w:r>
        <w:rPr>
          <w:i/>
          <w:color w:val="231F20"/>
          <w:sz w:val="24"/>
        </w:rPr>
        <w:t>to</w:t>
      </w:r>
      <w:r>
        <w:rPr>
          <w:i/>
          <w:color w:val="231F20"/>
          <w:spacing w:val="61"/>
          <w:sz w:val="24"/>
        </w:rPr>
        <w:t> </w:t>
      </w:r>
      <w:r>
        <w:rPr>
          <w:i/>
          <w:color w:val="231F20"/>
          <w:sz w:val="24"/>
        </w:rPr>
        <w:t>be</w:t>
      </w:r>
      <w:r>
        <w:rPr>
          <w:i/>
          <w:color w:val="231F20"/>
          <w:spacing w:val="61"/>
          <w:sz w:val="24"/>
        </w:rPr>
        <w:t> </w:t>
      </w:r>
      <w:r>
        <w:rPr>
          <w:i/>
          <w:color w:val="231F20"/>
          <w:sz w:val="24"/>
        </w:rPr>
        <w:t>terminated</w:t>
      </w:r>
      <w:r>
        <w:rPr>
          <w:i/>
          <w:color w:val="231F20"/>
          <w:spacing w:val="63"/>
          <w:sz w:val="24"/>
        </w:rPr>
        <w:t> </w:t>
      </w:r>
      <w:r>
        <w:rPr>
          <w:i/>
          <w:color w:val="231F20"/>
          <w:spacing w:val="-5"/>
          <w:sz w:val="24"/>
        </w:rPr>
        <w:t>for</w:t>
      </w:r>
    </w:p>
    <w:p>
      <w:pPr>
        <w:spacing w:after="0"/>
        <w:jc w:val="left"/>
        <w:rPr>
          <w:sz w:val="24"/>
        </w:rPr>
        <w:sectPr>
          <w:type w:val="continuous"/>
          <w:pgSz w:w="12240" w:h="15840"/>
          <w:pgMar w:header="660" w:footer="484" w:top="480" w:bottom="280" w:left="360" w:right="240"/>
          <w:cols w:num="2" w:equalWidth="0">
            <w:col w:w="5194" w:space="688"/>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9" w:firstLine="0"/>
        <w:jc w:val="both"/>
        <w:rPr>
          <w:i/>
          <w:sz w:val="24"/>
        </w:rPr>
      </w:pPr>
      <w:r>
        <w:rPr>
          <w:i/>
          <w:color w:val="231F20"/>
          <w:sz w:val="24"/>
        </w:rPr>
        <w:t>insubordination. Pursuant to the City’s</w:t>
      </w:r>
      <w:r>
        <w:rPr>
          <w:i/>
          <w:color w:val="231F20"/>
          <w:sz w:val="24"/>
        </w:rPr>
        <w:t> personnel policies, the employee requests a</w:t>
      </w:r>
      <w:r>
        <w:rPr>
          <w:i/>
          <w:color w:val="231F20"/>
          <w:spacing w:val="40"/>
          <w:sz w:val="24"/>
        </w:rPr>
        <w:t> </w:t>
      </w:r>
      <w:r>
        <w:rPr>
          <w:i/>
          <w:color w:val="231F20"/>
          <w:sz w:val="24"/>
        </w:rPr>
        <w:t>post-disciplinary hearing before the City Council. By statute and under the City Charter, the City Council has the power to hire and discharge employees. The City Council delegates its authority to conduct the hearing to a hearing officer. The employee requests a public hearing.</w:t>
      </w:r>
    </w:p>
    <w:p>
      <w:pPr>
        <w:pStyle w:val="BodyText"/>
        <w:rPr>
          <w:i/>
        </w:rPr>
      </w:pPr>
    </w:p>
    <w:p>
      <w:pPr>
        <w:spacing w:before="0"/>
        <w:ind w:left="475" w:right="38" w:firstLine="0"/>
        <w:jc w:val="both"/>
        <w:rPr>
          <w:i/>
          <w:sz w:val="24"/>
        </w:rPr>
      </w:pPr>
      <w:r>
        <w:rPr>
          <w:i/>
          <w:color w:val="231F20"/>
          <w:sz w:val="24"/>
        </w:rPr>
        <w:t>The City’s personnel policies give an employee</w:t>
      </w:r>
      <w:r>
        <w:rPr>
          <w:i/>
          <w:color w:val="231F20"/>
          <w:sz w:val="24"/>
        </w:rPr>
        <w:t> who is discharged the right to a </w:t>
      </w:r>
      <w:r>
        <w:rPr>
          <w:i/>
          <w:color w:val="231F20"/>
          <w:sz w:val="24"/>
        </w:rPr>
        <w:t>post- disciplinary hearing at the employee’s request. Although an individual hearing officer is conducting</w:t>
      </w:r>
      <w:r>
        <w:rPr>
          <w:i/>
          <w:color w:val="231F20"/>
          <w:spacing w:val="-1"/>
          <w:sz w:val="24"/>
        </w:rPr>
        <w:t> </w:t>
      </w:r>
      <w:r>
        <w:rPr>
          <w:i/>
          <w:color w:val="231F20"/>
          <w:sz w:val="24"/>
        </w:rPr>
        <w:t>the</w:t>
      </w:r>
      <w:r>
        <w:rPr>
          <w:i/>
          <w:color w:val="231F20"/>
          <w:spacing w:val="-2"/>
          <w:sz w:val="24"/>
        </w:rPr>
        <w:t> </w:t>
      </w:r>
      <w:r>
        <w:rPr>
          <w:i/>
          <w:color w:val="231F20"/>
          <w:sz w:val="24"/>
        </w:rPr>
        <w:t>hearing,</w:t>
      </w:r>
      <w:r>
        <w:rPr>
          <w:i/>
          <w:color w:val="231F20"/>
          <w:spacing w:val="-1"/>
          <w:sz w:val="24"/>
        </w:rPr>
        <w:t> </w:t>
      </w:r>
      <w:r>
        <w:rPr>
          <w:i/>
          <w:color w:val="231F20"/>
          <w:sz w:val="24"/>
        </w:rPr>
        <w:t>the</w:t>
      </w:r>
      <w:r>
        <w:rPr>
          <w:i/>
          <w:color w:val="231F20"/>
          <w:spacing w:val="-2"/>
          <w:sz w:val="24"/>
        </w:rPr>
        <w:t> </w:t>
      </w:r>
      <w:r>
        <w:rPr>
          <w:i/>
          <w:color w:val="231F20"/>
          <w:sz w:val="24"/>
        </w:rPr>
        <w:t>hearing</w:t>
      </w:r>
      <w:r>
        <w:rPr>
          <w:i/>
          <w:color w:val="231F20"/>
          <w:spacing w:val="-1"/>
          <w:sz w:val="24"/>
        </w:rPr>
        <w:t> </w:t>
      </w:r>
      <w:r>
        <w:rPr>
          <w:i/>
          <w:color w:val="231F20"/>
          <w:sz w:val="24"/>
        </w:rPr>
        <w:t>is</w:t>
      </w:r>
      <w:r>
        <w:rPr>
          <w:i/>
          <w:color w:val="231F20"/>
          <w:spacing w:val="-1"/>
          <w:sz w:val="24"/>
        </w:rPr>
        <w:t> </w:t>
      </w:r>
      <w:r>
        <w:rPr>
          <w:i/>
          <w:color w:val="231F20"/>
          <w:sz w:val="24"/>
        </w:rPr>
        <w:t>subject</w:t>
      </w:r>
      <w:r>
        <w:rPr>
          <w:i/>
          <w:color w:val="231F20"/>
          <w:spacing w:val="-1"/>
          <w:sz w:val="24"/>
        </w:rPr>
        <w:t> </w:t>
      </w:r>
      <w:r>
        <w:rPr>
          <w:i/>
          <w:color w:val="231F20"/>
          <w:sz w:val="24"/>
        </w:rPr>
        <w:t>to the Open Meetings Act because the hearing officer is exercising the City Council’s</w:t>
      </w:r>
      <w:r>
        <w:rPr>
          <w:i/>
          <w:color w:val="231F20"/>
          <w:spacing w:val="40"/>
          <w:sz w:val="24"/>
        </w:rPr>
        <w:t> </w:t>
      </w:r>
      <w:r>
        <w:rPr>
          <w:i/>
          <w:color w:val="231F20"/>
          <w:sz w:val="24"/>
        </w:rPr>
        <w:t>delegated authority to terminate employees. Accordingly, the hearing officer must conduct the hearing in public because the employee requested an open hearing.</w:t>
      </w:r>
    </w:p>
    <w:p>
      <w:pPr>
        <w:pStyle w:val="BodyText"/>
        <w:rPr>
          <w:i/>
        </w:rPr>
      </w:pPr>
    </w:p>
    <w:p>
      <w:pPr>
        <w:pStyle w:val="BodyText"/>
        <w:ind w:left="475"/>
      </w:pPr>
      <w:bookmarkStart w:name="Commentary" w:id="126"/>
      <w:bookmarkEnd w:id="126"/>
      <w:r>
        <w:rPr/>
      </w:r>
      <w:r>
        <w:rPr>
          <w:color w:val="231F20"/>
          <w:spacing w:val="-2"/>
          <w:u w:val="single" w:color="231F20"/>
        </w:rPr>
        <w:t>Commentary</w:t>
      </w:r>
    </w:p>
    <w:p>
      <w:pPr>
        <w:pStyle w:val="BodyText"/>
      </w:pPr>
    </w:p>
    <w:p>
      <w:pPr>
        <w:pStyle w:val="BodyText"/>
        <w:ind w:left="475" w:right="40"/>
        <w:jc w:val="both"/>
      </w:pPr>
      <w:r>
        <w:rPr>
          <w:color w:val="231F20"/>
        </w:rPr>
        <w:t>The limited personnel matters exception confers upon candidates for judicial office the right to a public interview by a commission charged with conducting such interviews.</w:t>
      </w:r>
    </w:p>
    <w:p>
      <w:pPr>
        <w:pStyle w:val="BodyText"/>
      </w:pPr>
    </w:p>
    <w:p>
      <w:pPr>
        <w:pStyle w:val="ListParagraph"/>
        <w:numPr>
          <w:ilvl w:val="0"/>
          <w:numId w:val="11"/>
        </w:numPr>
        <w:tabs>
          <w:tab w:pos="716" w:val="left" w:leader="none"/>
        </w:tabs>
        <w:spacing w:line="240" w:lineRule="auto" w:before="0" w:after="0"/>
        <w:ind w:left="715" w:right="0" w:hanging="241"/>
        <w:jc w:val="left"/>
        <w:rPr>
          <w:sz w:val="24"/>
        </w:rPr>
      </w:pPr>
      <w:bookmarkStart w:name="3. Administrative Adjudicatory Deliberat" w:id="127"/>
      <w:bookmarkEnd w:id="127"/>
      <w:r>
        <w:rPr>
          <w:color w:val="231F20"/>
          <w:sz w:val="24"/>
          <w:u w:val="single" w:color="231F20"/>
        </w:rPr>
        <w:t>A</w:t>
      </w:r>
      <w:r>
        <w:rPr>
          <w:color w:val="231F20"/>
          <w:sz w:val="24"/>
          <w:u w:val="single" w:color="231F20"/>
        </w:rPr>
        <w:t>dministrative</w:t>
      </w:r>
      <w:r>
        <w:rPr>
          <w:color w:val="231F20"/>
          <w:spacing w:val="-9"/>
          <w:sz w:val="24"/>
          <w:u w:val="single" w:color="231F20"/>
        </w:rPr>
        <w:t> </w:t>
      </w:r>
      <w:r>
        <w:rPr>
          <w:color w:val="231F20"/>
          <w:sz w:val="24"/>
          <w:u w:val="single" w:color="231F20"/>
        </w:rPr>
        <w:t>Adjudicatory</w:t>
      </w:r>
      <w:r>
        <w:rPr>
          <w:color w:val="231F20"/>
          <w:spacing w:val="-11"/>
          <w:sz w:val="24"/>
          <w:u w:val="single" w:color="231F20"/>
        </w:rPr>
        <w:t> </w:t>
      </w:r>
      <w:r>
        <w:rPr>
          <w:color w:val="231F20"/>
          <w:spacing w:val="-2"/>
          <w:sz w:val="24"/>
          <w:u w:val="single" w:color="231F20"/>
        </w:rPr>
        <w:t>Deliberations</w:t>
      </w:r>
    </w:p>
    <w:p>
      <w:pPr>
        <w:pStyle w:val="BodyText"/>
        <w:spacing w:before="5"/>
      </w:pPr>
    </w:p>
    <w:p>
      <w:pPr>
        <w:spacing w:before="0"/>
        <w:ind w:left="475" w:right="0" w:firstLine="0"/>
        <w:jc w:val="left"/>
        <w:rPr>
          <w:b/>
          <w:sz w:val="24"/>
        </w:rPr>
      </w:pPr>
      <w:bookmarkStart w:name="The Law" w:id="128"/>
      <w:bookmarkEnd w:id="12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line="240" w:lineRule="auto" w:before="0"/>
        <w:ind w:left="475" w:right="38" w:firstLine="0"/>
        <w:jc w:val="both"/>
        <w:rPr>
          <w:b/>
          <w:sz w:val="24"/>
        </w:rPr>
      </w:pPr>
      <w:r>
        <w:rPr>
          <w:b/>
          <w:color w:val="231F20"/>
          <w:sz w:val="24"/>
        </w:rPr>
        <w:t>Deliberations by a public body in connection with an administrative</w:t>
      </w:r>
      <w:r>
        <w:rPr>
          <w:b/>
          <w:color w:val="231F20"/>
          <w:sz w:val="24"/>
        </w:rPr>
        <w:t> adjudicatory proceeding. For purposes of this paragraph, an “administrative adjudicatory proceeding” means a proceeding brought by or against a person before</w:t>
      </w:r>
      <w:r>
        <w:rPr>
          <w:b/>
          <w:color w:val="231F20"/>
          <w:sz w:val="24"/>
        </w:rPr>
        <w:t> a</w:t>
      </w:r>
      <w:r>
        <w:rPr>
          <w:b/>
          <w:color w:val="231F20"/>
          <w:sz w:val="24"/>
        </w:rPr>
        <w:t> public body in which individual legal rights, duties or privileges</w:t>
      </w:r>
      <w:r>
        <w:rPr>
          <w:b/>
          <w:color w:val="231F20"/>
          <w:spacing w:val="40"/>
          <w:sz w:val="24"/>
        </w:rPr>
        <w:t> </w:t>
      </w:r>
      <w:r>
        <w:rPr>
          <w:b/>
          <w:color w:val="231F20"/>
          <w:sz w:val="24"/>
        </w:rPr>
        <w:t>are required by law to be determined by the public body after an opportunity for a trial- type</w:t>
      </w:r>
      <w:r>
        <w:rPr>
          <w:b/>
          <w:color w:val="231F20"/>
          <w:spacing w:val="-6"/>
          <w:sz w:val="24"/>
        </w:rPr>
        <w:t> </w:t>
      </w:r>
      <w:r>
        <w:rPr>
          <w:b/>
          <w:color w:val="231F20"/>
          <w:sz w:val="24"/>
        </w:rPr>
        <w:t>hearing.</w:t>
      </w:r>
      <w:r>
        <w:rPr>
          <w:b/>
          <w:color w:val="231F20"/>
          <w:spacing w:val="-5"/>
          <w:sz w:val="24"/>
        </w:rPr>
        <w:t> </w:t>
      </w:r>
      <w:r>
        <w:rPr>
          <w:b/>
          <w:color w:val="231F20"/>
          <w:sz w:val="24"/>
        </w:rPr>
        <w:t>Except</w:t>
      </w:r>
      <w:r>
        <w:rPr>
          <w:b/>
          <w:color w:val="231F20"/>
          <w:spacing w:val="-6"/>
          <w:sz w:val="24"/>
        </w:rPr>
        <w:t> </w:t>
      </w:r>
      <w:r>
        <w:rPr>
          <w:b/>
          <w:color w:val="231F20"/>
          <w:sz w:val="24"/>
        </w:rPr>
        <w:t>as</w:t>
      </w:r>
      <w:r>
        <w:rPr>
          <w:b/>
          <w:color w:val="231F20"/>
          <w:spacing w:val="-3"/>
          <w:sz w:val="24"/>
        </w:rPr>
        <w:t> </w:t>
      </w:r>
      <w:r>
        <w:rPr>
          <w:b/>
          <w:color w:val="231F20"/>
          <w:sz w:val="24"/>
        </w:rPr>
        <w:t>otherwise</w:t>
      </w:r>
      <w:r>
        <w:rPr>
          <w:b/>
          <w:color w:val="231F20"/>
          <w:spacing w:val="-6"/>
          <w:sz w:val="24"/>
        </w:rPr>
        <w:t> </w:t>
      </w:r>
      <w:r>
        <w:rPr>
          <w:b/>
          <w:color w:val="231F20"/>
          <w:sz w:val="24"/>
        </w:rPr>
        <w:t>provided</w:t>
      </w:r>
      <w:r>
        <w:rPr>
          <w:b/>
          <w:color w:val="231F20"/>
          <w:spacing w:val="-5"/>
          <w:sz w:val="24"/>
        </w:rPr>
        <w:t> </w:t>
      </w:r>
      <w:r>
        <w:rPr>
          <w:b/>
          <w:color w:val="231F20"/>
          <w:sz w:val="24"/>
        </w:rPr>
        <w:t>in this section, the actual administrative adjudicatory proceeding at which evidence is offered or rebutted and any final action</w:t>
      </w:r>
      <w:r>
        <w:rPr>
          <w:b/>
          <w:color w:val="231F20"/>
          <w:spacing w:val="40"/>
          <w:sz w:val="24"/>
        </w:rPr>
        <w:t> </w:t>
      </w:r>
      <w:r>
        <w:rPr>
          <w:b/>
          <w:color w:val="231F20"/>
          <w:sz w:val="24"/>
        </w:rPr>
        <w:t>taken</w:t>
      </w:r>
      <w:r>
        <w:rPr>
          <w:b/>
          <w:color w:val="231F20"/>
          <w:spacing w:val="-5"/>
          <w:sz w:val="24"/>
        </w:rPr>
        <w:t> </w:t>
      </w:r>
      <w:r>
        <w:rPr>
          <w:b/>
          <w:color w:val="231F20"/>
          <w:sz w:val="24"/>
        </w:rPr>
        <w:t>as</w:t>
      </w:r>
      <w:r>
        <w:rPr>
          <w:b/>
          <w:color w:val="231F20"/>
          <w:spacing w:val="-5"/>
          <w:sz w:val="24"/>
        </w:rPr>
        <w:t> </w:t>
      </w:r>
      <w:r>
        <w:rPr>
          <w:b/>
          <w:color w:val="231F20"/>
          <w:sz w:val="24"/>
        </w:rPr>
        <w:t>a</w:t>
      </w:r>
      <w:r>
        <w:rPr>
          <w:b/>
          <w:color w:val="231F20"/>
          <w:spacing w:val="-5"/>
          <w:sz w:val="24"/>
        </w:rPr>
        <w:t> </w:t>
      </w:r>
      <w:r>
        <w:rPr>
          <w:b/>
          <w:color w:val="231F20"/>
          <w:sz w:val="24"/>
        </w:rPr>
        <w:t>result</w:t>
      </w:r>
      <w:r>
        <w:rPr>
          <w:b/>
          <w:color w:val="231F20"/>
          <w:spacing w:val="-6"/>
          <w:sz w:val="24"/>
        </w:rPr>
        <w:t> </w:t>
      </w:r>
      <w:r>
        <w:rPr>
          <w:b/>
          <w:color w:val="231F20"/>
          <w:sz w:val="24"/>
        </w:rPr>
        <w:t>of</w:t>
      </w:r>
      <w:r>
        <w:rPr>
          <w:b/>
          <w:color w:val="231F20"/>
          <w:spacing w:val="-4"/>
          <w:sz w:val="24"/>
        </w:rPr>
        <w:t> </w:t>
      </w:r>
      <w:r>
        <w:rPr>
          <w:b/>
          <w:color w:val="231F20"/>
          <w:sz w:val="24"/>
        </w:rPr>
        <w:t>the</w:t>
      </w:r>
      <w:r>
        <w:rPr>
          <w:b/>
          <w:color w:val="231F20"/>
          <w:spacing w:val="-6"/>
          <w:sz w:val="24"/>
        </w:rPr>
        <w:t> </w:t>
      </w:r>
      <w:r>
        <w:rPr>
          <w:b/>
          <w:color w:val="231F20"/>
          <w:sz w:val="24"/>
        </w:rPr>
        <w:t>proceeding</w:t>
      </w:r>
      <w:r>
        <w:rPr>
          <w:b/>
          <w:color w:val="231F20"/>
          <w:spacing w:val="-5"/>
          <w:sz w:val="24"/>
        </w:rPr>
        <w:t> </w:t>
      </w:r>
      <w:r>
        <w:rPr>
          <w:b/>
          <w:color w:val="231F20"/>
          <w:sz w:val="24"/>
        </w:rPr>
        <w:t>shall</w:t>
      </w:r>
      <w:r>
        <w:rPr>
          <w:b/>
          <w:color w:val="231F20"/>
          <w:spacing w:val="-5"/>
          <w:sz w:val="24"/>
        </w:rPr>
        <w:t> </w:t>
      </w:r>
      <w:r>
        <w:rPr>
          <w:b/>
          <w:color w:val="231F20"/>
          <w:sz w:val="24"/>
        </w:rPr>
        <w:t>occur in an open meeting.</w:t>
      </w:r>
    </w:p>
    <w:p>
      <w:pPr>
        <w:pStyle w:val="BodyText"/>
        <w:spacing w:before="90"/>
        <w:ind w:left="475"/>
      </w:pPr>
      <w:r>
        <w:rPr/>
        <w:br w:type="column"/>
      </w:r>
      <w:bookmarkStart w:name="Commentary" w:id="129"/>
      <w:bookmarkEnd w:id="129"/>
      <w:r>
        <w:rPr/>
      </w:r>
      <w:r>
        <w:rPr>
          <w:color w:val="231F20"/>
          <w:spacing w:val="-2"/>
          <w:u w:val="single" w:color="231F20"/>
        </w:rPr>
        <w:t>Commentary</w:t>
      </w:r>
    </w:p>
    <w:p>
      <w:pPr>
        <w:pStyle w:val="BodyText"/>
        <w:spacing w:before="11"/>
        <w:rPr>
          <w:sz w:val="23"/>
        </w:rPr>
      </w:pPr>
    </w:p>
    <w:p>
      <w:pPr>
        <w:pStyle w:val="BodyText"/>
        <w:ind w:left="475" w:right="595"/>
        <w:jc w:val="both"/>
      </w:pPr>
      <w:r>
        <w:rPr>
          <w:color w:val="231F20"/>
        </w:rPr>
        <w:t>This</w:t>
      </w:r>
      <w:r>
        <w:rPr>
          <w:color w:val="231F20"/>
          <w:spacing w:val="40"/>
        </w:rPr>
        <w:t>  </w:t>
      </w:r>
      <w:r>
        <w:rPr>
          <w:color w:val="231F20"/>
        </w:rPr>
        <w:t>paragraph</w:t>
      </w:r>
      <w:r>
        <w:rPr>
          <w:color w:val="231F20"/>
          <w:spacing w:val="40"/>
        </w:rPr>
        <w:t>  </w:t>
      </w:r>
      <w:r>
        <w:rPr>
          <w:color w:val="231F20"/>
        </w:rPr>
        <w:t>permits</w:t>
      </w:r>
      <w:r>
        <w:rPr>
          <w:color w:val="231F20"/>
          <w:spacing w:val="40"/>
        </w:rPr>
        <w:t>  </w:t>
      </w:r>
      <w:r>
        <w:rPr>
          <w:color w:val="231F20"/>
        </w:rPr>
        <w:t>a</w:t>
      </w:r>
      <w:r>
        <w:rPr>
          <w:color w:val="231F20"/>
          <w:spacing w:val="40"/>
        </w:rPr>
        <w:t>  </w:t>
      </w:r>
      <w:r>
        <w:rPr>
          <w:color w:val="231F20"/>
        </w:rPr>
        <w:t>public</w:t>
      </w:r>
      <w:r>
        <w:rPr>
          <w:color w:val="231F20"/>
          <w:spacing w:val="40"/>
        </w:rPr>
        <w:t>  </w:t>
      </w:r>
      <w:r>
        <w:rPr>
          <w:color w:val="231F20"/>
        </w:rPr>
        <w:t>body</w:t>
      </w:r>
      <w:r>
        <w:rPr>
          <w:color w:val="231F20"/>
          <w:spacing w:val="40"/>
        </w:rPr>
        <w:t> </w:t>
      </w:r>
      <w:r>
        <w:rPr>
          <w:color w:val="231F20"/>
        </w:rPr>
        <w:t>that conducts “administrative</w:t>
      </w:r>
      <w:r>
        <w:rPr>
          <w:color w:val="231F20"/>
        </w:rPr>
        <w:t> adjudicatory proceedings” to close the proceedings to deliberate. Examples of administrative adjudicatory</w:t>
      </w:r>
      <w:r>
        <w:rPr>
          <w:color w:val="231F20"/>
        </w:rPr>
        <w:t> proceedings contemplated by the exception include factual hearings conducted before</w:t>
      </w:r>
      <w:r>
        <w:rPr>
          <w:color w:val="231F20"/>
          <w:spacing w:val="-2"/>
        </w:rPr>
        <w:t> </w:t>
      </w:r>
      <w:r>
        <w:rPr>
          <w:color w:val="231F20"/>
        </w:rPr>
        <w:t>issuing</w:t>
      </w:r>
      <w:r>
        <w:rPr>
          <w:color w:val="231F20"/>
          <w:spacing w:val="-3"/>
        </w:rPr>
        <w:t> </w:t>
      </w:r>
      <w:r>
        <w:rPr>
          <w:color w:val="231F20"/>
        </w:rPr>
        <w:t>licenses and</w:t>
      </w:r>
      <w:r>
        <w:rPr>
          <w:color w:val="231F20"/>
          <w:spacing w:val="-3"/>
        </w:rPr>
        <w:t> </w:t>
      </w:r>
      <w:r>
        <w:rPr>
          <w:color w:val="231F20"/>
        </w:rPr>
        <w:t>permits,</w:t>
      </w:r>
      <w:r>
        <w:rPr>
          <w:color w:val="231F20"/>
          <w:spacing w:val="-3"/>
        </w:rPr>
        <w:t> </w:t>
      </w:r>
      <w:r>
        <w:rPr>
          <w:color w:val="231F20"/>
        </w:rPr>
        <w:t>licensee</w:t>
      </w:r>
      <w:r>
        <w:rPr>
          <w:color w:val="231F20"/>
          <w:spacing w:val="-2"/>
        </w:rPr>
        <w:t> </w:t>
      </w:r>
      <w:r>
        <w:rPr>
          <w:color w:val="231F20"/>
        </w:rPr>
        <w:t>and employee disciplinary hearings, hearings like those conducted by the Human Rights Commission to consider alleged civil rights violations, and hearings held to consider wage and other labor related claims. Like a trial or other court hearing, these proceedings involve the presentation of facts and evidence in a</w:t>
      </w:r>
      <w:r>
        <w:rPr>
          <w:color w:val="231F20"/>
          <w:spacing w:val="40"/>
        </w:rPr>
        <w:t> </w:t>
      </w:r>
      <w:r>
        <w:rPr>
          <w:color w:val="231F20"/>
        </w:rPr>
        <w:t>public hearing and an impartial decision maker that must weigh the evidence presented and apply the applicable law, regulation or rule to</w:t>
      </w:r>
      <w:r>
        <w:rPr>
          <w:color w:val="231F20"/>
          <w:spacing w:val="40"/>
        </w:rPr>
        <w:t> </w:t>
      </w:r>
      <w:r>
        <w:rPr>
          <w:color w:val="231F20"/>
        </w:rPr>
        <w:t>the particular situation before being heard. Deliberations covered by the exception include discussions among the members of the public body at the conclusion of an administrative adjudicatory</w:t>
      </w:r>
      <w:r>
        <w:rPr>
          <w:color w:val="231F20"/>
          <w:spacing w:val="-2"/>
        </w:rPr>
        <w:t> </w:t>
      </w:r>
      <w:r>
        <w:rPr>
          <w:color w:val="231F20"/>
        </w:rPr>
        <w:t>hearing during which the evidence, facts and law presented at the hearing are considered to reach a final decision. Deliberations also include discussions during</w:t>
      </w:r>
      <w:r>
        <w:rPr>
          <w:color w:val="231F20"/>
          <w:spacing w:val="40"/>
        </w:rPr>
        <w:t> </w:t>
      </w:r>
      <w:r>
        <w:rPr>
          <w:color w:val="231F20"/>
        </w:rPr>
        <w:t>the hearing concerning how to rule on motions and objections made by the parties.</w:t>
      </w:r>
    </w:p>
    <w:p>
      <w:pPr>
        <w:pStyle w:val="BodyText"/>
        <w:spacing w:before="1"/>
      </w:pPr>
    </w:p>
    <w:p>
      <w:pPr>
        <w:pStyle w:val="BodyText"/>
        <w:ind w:left="475" w:right="598"/>
        <w:jc w:val="both"/>
      </w:pPr>
      <w:r>
        <w:rPr>
          <w:color w:val="231F20"/>
        </w:rPr>
        <w:t>The exception extends to all administrative adjudicatory</w:t>
      </w:r>
      <w:r>
        <w:rPr>
          <w:color w:val="231F20"/>
        </w:rPr>
        <w:t> proceedings the same right to deliberate in private that the Act specifically provides for licensing</w:t>
      </w:r>
      <w:r>
        <w:rPr>
          <w:color w:val="231F20"/>
          <w:spacing w:val="-2"/>
        </w:rPr>
        <w:t> </w:t>
      </w:r>
      <w:r>
        <w:rPr>
          <w:color w:val="231F20"/>
        </w:rPr>
        <w:t>and personnel hearings. It also parallels the same privilege judges and courts have to weigh and consider in private evidence presented during a trial before</w:t>
      </w:r>
      <w:r>
        <w:rPr>
          <w:color w:val="231F20"/>
          <w:spacing w:val="40"/>
        </w:rPr>
        <w:t> </w:t>
      </w:r>
      <w:r>
        <w:rPr>
          <w:color w:val="231F20"/>
        </w:rPr>
        <w:t>reaching their final decision. Permitting</w:t>
      </w:r>
      <w:r>
        <w:rPr>
          <w:color w:val="231F20"/>
          <w:spacing w:val="40"/>
        </w:rPr>
        <w:t> </w:t>
      </w:r>
      <w:r>
        <w:rPr>
          <w:color w:val="231F20"/>
        </w:rPr>
        <w:t>agencies to deliberate in private under the specified circumstances encourages the</w:t>
      </w:r>
      <w:r>
        <w:rPr>
          <w:color w:val="231F20"/>
          <w:spacing w:val="40"/>
        </w:rPr>
        <w:t> </w:t>
      </w:r>
      <w:r>
        <w:rPr>
          <w:color w:val="231F20"/>
        </w:rPr>
        <w:t>thorough and candid consideration of evidence presented through witnesses or otherwise. As with the licensing and personnel exceptions, the actual proceeding where evidence is offered or rebutted and any final action or decision resulting from the proceeding must occur in a public meeting.</w:t>
      </w:r>
    </w:p>
    <w:p>
      <w:pPr>
        <w:spacing w:after="0"/>
        <w:jc w:val="both"/>
        <w:sectPr>
          <w:type w:val="continuous"/>
          <w:pgSz w:w="12240" w:h="15840"/>
          <w:pgMar w:header="660" w:footer="484" w:top="480" w:bottom="280" w:left="360" w:right="240"/>
          <w:cols w:num="2" w:equalWidth="0">
            <w:col w:w="5199" w:space="684"/>
            <w:col w:w="5757"/>
          </w:cols>
        </w:sectPr>
      </w:pPr>
    </w:p>
    <w:p>
      <w:pPr>
        <w:pStyle w:val="BodyText"/>
        <w:spacing w:before="8"/>
        <w:rPr>
          <w:sz w:val="15"/>
        </w:rPr>
      </w:pPr>
    </w:p>
    <w:p>
      <w:pPr>
        <w:spacing w:after="0"/>
        <w:rPr>
          <w:sz w:val="15"/>
        </w:rPr>
        <w:sectPr>
          <w:pgSz w:w="12240" w:h="15840"/>
          <w:pgMar w:header="660" w:footer="484" w:top="960" w:bottom="900" w:left="360" w:right="240"/>
        </w:sectPr>
      </w:pPr>
    </w:p>
    <w:p>
      <w:pPr>
        <w:spacing w:before="90"/>
        <w:ind w:left="475" w:right="0" w:firstLine="0"/>
        <w:jc w:val="both"/>
        <w:rPr>
          <w:i/>
          <w:sz w:val="24"/>
        </w:rPr>
      </w:pPr>
      <w:bookmarkStart w:name="Example 46:" w:id="130"/>
      <w:bookmarkEnd w:id="13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46:</w:t>
      </w:r>
    </w:p>
    <w:p>
      <w:pPr>
        <w:pStyle w:val="BodyText"/>
        <w:spacing w:before="11"/>
        <w:rPr>
          <w:i/>
          <w:sz w:val="23"/>
        </w:rPr>
      </w:pPr>
    </w:p>
    <w:p>
      <w:pPr>
        <w:spacing w:before="0"/>
        <w:ind w:left="475" w:right="38" w:firstLine="0"/>
        <w:jc w:val="both"/>
        <w:rPr>
          <w:i/>
          <w:sz w:val="24"/>
        </w:rPr>
      </w:pPr>
      <w:r>
        <w:rPr>
          <w:i/>
          <w:color w:val="231F20"/>
          <w:sz w:val="24"/>
        </w:rPr>
        <w:t>The Human Rights Commission receives a</w:t>
      </w:r>
      <w:r>
        <w:rPr>
          <w:i/>
          <w:color w:val="231F20"/>
          <w:sz w:val="24"/>
        </w:rPr>
        <w:t> complaint alleging that a hotel refused service</w:t>
      </w:r>
      <w:r>
        <w:rPr>
          <w:i/>
          <w:color w:val="231F20"/>
          <w:spacing w:val="40"/>
          <w:sz w:val="24"/>
        </w:rPr>
        <w:t> </w:t>
      </w:r>
      <w:r>
        <w:rPr>
          <w:i/>
          <w:color w:val="231F20"/>
          <w:sz w:val="24"/>
        </w:rPr>
        <w:t>to the complainant in violation of her civil rights. The Commission schedules a public hearing during which evidence is presented and witnesses testify on both sides of the issue. At</w:t>
      </w:r>
      <w:r>
        <w:rPr>
          <w:i/>
          <w:color w:val="231F20"/>
          <w:spacing w:val="40"/>
          <w:sz w:val="24"/>
        </w:rPr>
        <w:t> </w:t>
      </w:r>
      <w:r>
        <w:rPr>
          <w:i/>
          <w:color w:val="231F20"/>
          <w:sz w:val="24"/>
        </w:rPr>
        <w:t>the conclusion of the hearing, the Commission may close the hearing to consider the evidence and the credibility of the witnesses to determine what</w:t>
      </w:r>
      <w:r>
        <w:rPr>
          <w:i/>
          <w:color w:val="231F20"/>
          <w:spacing w:val="-1"/>
          <w:sz w:val="24"/>
        </w:rPr>
        <w:t> </w:t>
      </w:r>
      <w:r>
        <w:rPr>
          <w:i/>
          <w:color w:val="231F20"/>
          <w:sz w:val="24"/>
        </w:rPr>
        <w:t>the</w:t>
      </w:r>
      <w:r>
        <w:rPr>
          <w:i/>
          <w:color w:val="231F20"/>
          <w:spacing w:val="-2"/>
          <w:sz w:val="24"/>
        </w:rPr>
        <w:t> </w:t>
      </w:r>
      <w:r>
        <w:rPr>
          <w:i/>
          <w:color w:val="231F20"/>
          <w:sz w:val="24"/>
        </w:rPr>
        <w:t>facts</w:t>
      </w:r>
      <w:r>
        <w:rPr>
          <w:i/>
          <w:color w:val="231F20"/>
          <w:spacing w:val="-1"/>
          <w:sz w:val="24"/>
        </w:rPr>
        <w:t> </w:t>
      </w:r>
      <w:r>
        <w:rPr>
          <w:i/>
          <w:color w:val="231F20"/>
          <w:sz w:val="24"/>
        </w:rPr>
        <w:t>are and</w:t>
      </w:r>
      <w:r>
        <w:rPr>
          <w:i/>
          <w:color w:val="231F20"/>
          <w:spacing w:val="-1"/>
          <w:sz w:val="24"/>
        </w:rPr>
        <w:t> </w:t>
      </w:r>
      <w:r>
        <w:rPr>
          <w:i/>
          <w:color w:val="231F20"/>
          <w:sz w:val="24"/>
        </w:rPr>
        <w:t>how to</w:t>
      </w:r>
      <w:r>
        <w:rPr>
          <w:i/>
          <w:color w:val="231F20"/>
          <w:spacing w:val="-1"/>
          <w:sz w:val="24"/>
        </w:rPr>
        <w:t> </w:t>
      </w:r>
      <w:r>
        <w:rPr>
          <w:i/>
          <w:color w:val="231F20"/>
          <w:sz w:val="24"/>
        </w:rPr>
        <w:t>apply</w:t>
      </w:r>
      <w:r>
        <w:rPr>
          <w:i/>
          <w:color w:val="231F20"/>
          <w:spacing w:val="-2"/>
          <w:sz w:val="24"/>
        </w:rPr>
        <w:t> </w:t>
      </w:r>
      <w:r>
        <w:rPr>
          <w:i/>
          <w:color w:val="231F20"/>
          <w:sz w:val="24"/>
        </w:rPr>
        <w:t>the Act.</w:t>
      </w:r>
      <w:r>
        <w:rPr>
          <w:i/>
          <w:color w:val="231F20"/>
          <w:spacing w:val="-1"/>
          <w:sz w:val="24"/>
        </w:rPr>
        <w:t> </w:t>
      </w:r>
      <w:r>
        <w:rPr>
          <w:i/>
          <w:color w:val="231F20"/>
          <w:sz w:val="24"/>
        </w:rPr>
        <w:t>The Commission</w:t>
      </w:r>
      <w:r>
        <w:rPr>
          <w:i/>
          <w:color w:val="231F20"/>
          <w:spacing w:val="-2"/>
          <w:sz w:val="24"/>
        </w:rPr>
        <w:t> </w:t>
      </w:r>
      <w:r>
        <w:rPr>
          <w:i/>
          <w:color w:val="231F20"/>
          <w:sz w:val="24"/>
        </w:rPr>
        <w:t>must</w:t>
      </w:r>
      <w:r>
        <w:rPr>
          <w:i/>
          <w:color w:val="231F20"/>
          <w:spacing w:val="-2"/>
          <w:sz w:val="24"/>
        </w:rPr>
        <w:t> </w:t>
      </w:r>
      <w:r>
        <w:rPr>
          <w:i/>
          <w:color w:val="231F20"/>
          <w:sz w:val="24"/>
        </w:rPr>
        <w:t>vote</w:t>
      </w:r>
      <w:r>
        <w:rPr>
          <w:i/>
          <w:color w:val="231F20"/>
          <w:spacing w:val="-3"/>
          <w:sz w:val="24"/>
        </w:rPr>
        <w:t> </w:t>
      </w:r>
      <w:r>
        <w:rPr>
          <w:i/>
          <w:color w:val="231F20"/>
          <w:sz w:val="24"/>
        </w:rPr>
        <w:t>on</w:t>
      </w:r>
      <w:r>
        <w:rPr>
          <w:i/>
          <w:color w:val="231F20"/>
          <w:spacing w:val="-2"/>
          <w:sz w:val="24"/>
        </w:rPr>
        <w:t> </w:t>
      </w:r>
      <w:r>
        <w:rPr>
          <w:i/>
          <w:color w:val="231F20"/>
          <w:sz w:val="24"/>
        </w:rPr>
        <w:t>and</w:t>
      </w:r>
      <w:r>
        <w:rPr>
          <w:i/>
          <w:color w:val="231F20"/>
          <w:spacing w:val="-2"/>
          <w:sz w:val="24"/>
        </w:rPr>
        <w:t> </w:t>
      </w:r>
      <w:r>
        <w:rPr>
          <w:i/>
          <w:color w:val="231F20"/>
          <w:sz w:val="24"/>
        </w:rPr>
        <w:t>announce</w:t>
      </w:r>
      <w:r>
        <w:rPr>
          <w:i/>
          <w:color w:val="231F20"/>
          <w:spacing w:val="-3"/>
          <w:sz w:val="24"/>
        </w:rPr>
        <w:t> </w:t>
      </w:r>
      <w:r>
        <w:rPr>
          <w:i/>
          <w:color w:val="231F20"/>
          <w:sz w:val="24"/>
        </w:rPr>
        <w:t>its</w:t>
      </w:r>
      <w:r>
        <w:rPr>
          <w:i/>
          <w:color w:val="231F20"/>
          <w:spacing w:val="-2"/>
          <w:sz w:val="24"/>
        </w:rPr>
        <w:t> </w:t>
      </w:r>
      <w:r>
        <w:rPr>
          <w:i/>
          <w:color w:val="231F20"/>
          <w:sz w:val="24"/>
        </w:rPr>
        <w:t>final decision in a public meeting. This may occur either on the same day as the hearing or </w:t>
      </w:r>
      <w:r>
        <w:rPr>
          <w:i/>
          <w:color w:val="231F20"/>
          <w:sz w:val="24"/>
        </w:rPr>
        <w:t>during a subsequent public meeting.</w:t>
      </w:r>
    </w:p>
    <w:p>
      <w:pPr>
        <w:pStyle w:val="BodyText"/>
        <w:rPr>
          <w:i/>
        </w:rPr>
      </w:pPr>
    </w:p>
    <w:p>
      <w:pPr>
        <w:pStyle w:val="BodyText"/>
        <w:ind w:left="475"/>
      </w:pPr>
      <w:bookmarkStart w:name="Commentary" w:id="131"/>
      <w:bookmarkEnd w:id="131"/>
      <w:r>
        <w:rPr/>
      </w:r>
      <w:r>
        <w:rPr>
          <w:color w:val="231F20"/>
          <w:spacing w:val="-2"/>
          <w:u w:val="single" w:color="231F20"/>
        </w:rPr>
        <w:t>Commentary</w:t>
      </w:r>
    </w:p>
    <w:p>
      <w:pPr>
        <w:pStyle w:val="BodyText"/>
      </w:pPr>
    </w:p>
    <w:p>
      <w:pPr>
        <w:pStyle w:val="BodyText"/>
        <w:ind w:left="475" w:right="38"/>
        <w:jc w:val="both"/>
      </w:pPr>
      <w:r>
        <w:rPr>
          <w:color w:val="231F20"/>
        </w:rPr>
        <w:t>The exception applies only where a public body is required by law to determine individual legal rights, duties or privileges after providing the opportunity for a trial-type hearing. Public bodies may</w:t>
      </w:r>
      <w:r>
        <w:rPr>
          <w:color w:val="231F20"/>
          <w:spacing w:val="-1"/>
        </w:rPr>
        <w:t> </w:t>
      </w:r>
      <w:r>
        <w:rPr>
          <w:color w:val="231F20"/>
        </w:rPr>
        <w:t>not misuse the exception as a means of</w:t>
      </w:r>
      <w:r>
        <w:rPr>
          <w:color w:val="231F20"/>
        </w:rPr>
        <w:t> avoiding</w:t>
      </w:r>
      <w:r>
        <w:rPr>
          <w:color w:val="231F20"/>
        </w:rPr>
        <w:t> the</w:t>
      </w:r>
      <w:r>
        <w:rPr>
          <w:color w:val="231F20"/>
        </w:rPr>
        <w:t> open</w:t>
      </w:r>
      <w:r>
        <w:rPr>
          <w:color w:val="231F20"/>
        </w:rPr>
        <w:t> meeting</w:t>
      </w:r>
      <w:r>
        <w:rPr>
          <w:color w:val="231F20"/>
        </w:rPr>
        <w:t> requirements. In other words, unless the Act mandates that a matter be determined after an administrative adjudicatory</w:t>
      </w:r>
      <w:r>
        <w:rPr>
          <w:color w:val="231F20"/>
        </w:rPr>
        <w:t> proceeding,</w:t>
      </w:r>
      <w:r>
        <w:rPr>
          <w:color w:val="231F20"/>
        </w:rPr>
        <w:t> a</w:t>
      </w:r>
      <w:r>
        <w:rPr>
          <w:color w:val="231F20"/>
        </w:rPr>
        <w:t> public</w:t>
      </w:r>
      <w:r>
        <w:rPr>
          <w:color w:val="231F20"/>
        </w:rPr>
        <w:t> body</w:t>
      </w:r>
      <w:r>
        <w:rPr>
          <w:color w:val="231F20"/>
        </w:rPr>
        <w:t> cannot hold a “hearing” on an issue and then close its meeting to “deliberate” if the issue is one that otherwise would have to be discussed in public and is not one for which the Act mandates a trial- type process.</w:t>
      </w:r>
    </w:p>
    <w:p>
      <w:pPr>
        <w:pStyle w:val="BodyText"/>
        <w:spacing w:before="1"/>
      </w:pPr>
    </w:p>
    <w:p>
      <w:pPr>
        <w:spacing w:before="0"/>
        <w:ind w:left="475" w:right="0" w:firstLine="0"/>
        <w:jc w:val="left"/>
        <w:rPr>
          <w:i/>
          <w:sz w:val="24"/>
        </w:rPr>
      </w:pPr>
      <w:bookmarkStart w:name="Example 47:" w:id="132"/>
      <w:bookmarkEnd w:id="13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47:</w:t>
      </w:r>
    </w:p>
    <w:p>
      <w:pPr>
        <w:pStyle w:val="BodyText"/>
        <w:spacing w:before="9"/>
        <w:rPr>
          <w:i/>
          <w:sz w:val="23"/>
        </w:rPr>
      </w:pPr>
    </w:p>
    <w:p>
      <w:pPr>
        <w:spacing w:before="0"/>
        <w:ind w:left="475" w:right="38" w:firstLine="0"/>
        <w:jc w:val="both"/>
        <w:rPr>
          <w:i/>
          <w:sz w:val="24"/>
        </w:rPr>
      </w:pPr>
      <w:r>
        <w:rPr>
          <w:i/>
          <w:color w:val="231F20"/>
          <w:sz w:val="24"/>
        </w:rPr>
        <w:t>One of the items discussed at a village council</w:t>
      </w:r>
      <w:r>
        <w:rPr>
          <w:i/>
          <w:color w:val="231F20"/>
          <w:sz w:val="24"/>
        </w:rPr>
        <w:t> meeting is a contract for garbage collection. One councilor suggests that the village hold a hearing to hear each bidder’s proposal, and then go into executive session to “deliberate”</w:t>
      </w:r>
      <w:r>
        <w:rPr>
          <w:i/>
          <w:color w:val="231F20"/>
          <w:spacing w:val="40"/>
          <w:sz w:val="24"/>
        </w:rPr>
        <w:t> </w:t>
      </w:r>
      <w:r>
        <w:rPr>
          <w:i/>
          <w:color w:val="231F20"/>
          <w:sz w:val="24"/>
        </w:rPr>
        <w:t>on which proposal to accept. The councilor’s suggestion is correctly voted down after the council’s attorney advises that the selection of a contractor is governed by the Procurement Code, which does not authorize an administrative adjudicatory proceeding prior to awarding a contract.</w:t>
      </w:r>
    </w:p>
    <w:p>
      <w:pPr>
        <w:pStyle w:val="ListParagraph"/>
        <w:numPr>
          <w:ilvl w:val="0"/>
          <w:numId w:val="11"/>
        </w:numPr>
        <w:tabs>
          <w:tab w:pos="716" w:val="left" w:leader="none"/>
        </w:tabs>
        <w:spacing w:line="240" w:lineRule="auto" w:before="90" w:after="0"/>
        <w:ind w:left="715" w:right="0" w:hanging="241"/>
        <w:jc w:val="both"/>
        <w:rPr>
          <w:sz w:val="24"/>
        </w:rPr>
      </w:pPr>
      <w:bookmarkStart w:name="4. Personally Identifiable Student Infor" w:id="133"/>
      <w:bookmarkEnd w:id="133"/>
      <w:r>
        <w:rPr/>
      </w:r>
      <w:r>
        <w:rPr/>
        <w:br w:type="column"/>
      </w:r>
      <w:bookmarkStart w:name="4. Personally Identifiable Student Infor" w:id="134"/>
      <w:bookmarkEnd w:id="134"/>
      <w:r>
        <w:rPr>
          <w:color w:val="231F20"/>
          <w:sz w:val="24"/>
          <w:u w:val="single" w:color="231F20"/>
        </w:rPr>
        <w:t>P</w:t>
      </w:r>
      <w:r>
        <w:rPr>
          <w:color w:val="231F20"/>
          <w:sz w:val="24"/>
          <w:u w:val="single" w:color="231F20"/>
        </w:rPr>
        <w:t>ersonally</w:t>
      </w:r>
      <w:r>
        <w:rPr>
          <w:color w:val="231F20"/>
          <w:spacing w:val="-5"/>
          <w:sz w:val="24"/>
          <w:u w:val="single" w:color="231F20"/>
        </w:rPr>
        <w:t> </w:t>
      </w:r>
      <w:r>
        <w:rPr>
          <w:color w:val="231F20"/>
          <w:sz w:val="24"/>
          <w:u w:val="single" w:color="231F20"/>
        </w:rPr>
        <w:t>Identifiable</w:t>
      </w:r>
      <w:r>
        <w:rPr>
          <w:color w:val="231F20"/>
          <w:spacing w:val="-3"/>
          <w:sz w:val="24"/>
          <w:u w:val="single" w:color="231F20"/>
        </w:rPr>
        <w:t> </w:t>
      </w:r>
      <w:r>
        <w:rPr>
          <w:color w:val="231F20"/>
          <w:sz w:val="24"/>
          <w:u w:val="single" w:color="231F20"/>
        </w:rPr>
        <w:t>Student</w:t>
      </w:r>
      <w:r>
        <w:rPr>
          <w:color w:val="231F20"/>
          <w:spacing w:val="-1"/>
          <w:sz w:val="24"/>
        </w:rPr>
        <w:t> </w:t>
      </w:r>
      <w:r>
        <w:rPr>
          <w:color w:val="231F20"/>
          <w:spacing w:val="-2"/>
          <w:sz w:val="24"/>
          <w:u w:val="single" w:color="231F20"/>
        </w:rPr>
        <w:t>Information</w:t>
      </w:r>
    </w:p>
    <w:p>
      <w:pPr>
        <w:pStyle w:val="BodyText"/>
        <w:spacing w:before="4"/>
        <w:rPr>
          <w:sz w:val="28"/>
        </w:rPr>
      </w:pPr>
    </w:p>
    <w:p>
      <w:pPr>
        <w:spacing w:before="0"/>
        <w:ind w:left="475" w:right="0" w:firstLine="0"/>
        <w:jc w:val="both"/>
        <w:rPr>
          <w:b/>
          <w:sz w:val="24"/>
        </w:rPr>
      </w:pPr>
      <w:r>
        <w:rPr/>
        <w:pict>
          <v:rect style="position:absolute;margin-left:496.559998pt;margin-top:-17.595901pt;width:3.12pt;height:.599pt;mso-position-horizontal-relative:page;mso-position-vertical-relative:paragraph;z-index:15735296" id="docshape17" filled="true" fillcolor="#000000" stroked="false">
            <v:fill type="solid"/>
            <w10:wrap type="none"/>
          </v:rect>
        </w:pict>
      </w:r>
      <w:bookmarkStart w:name="The Law" w:id="135"/>
      <w:bookmarkEnd w:id="135"/>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7"/>
        </w:rPr>
      </w:pPr>
    </w:p>
    <w:p>
      <w:pPr>
        <w:spacing w:before="0"/>
        <w:ind w:left="475" w:right="597" w:firstLine="0"/>
        <w:jc w:val="both"/>
        <w:rPr>
          <w:b/>
          <w:sz w:val="24"/>
        </w:rPr>
      </w:pPr>
      <w:r>
        <w:rPr>
          <w:b/>
          <w:color w:val="231F20"/>
          <w:sz w:val="24"/>
        </w:rPr>
        <w:t>The discussion of personally identifiable information about</w:t>
      </w:r>
      <w:r>
        <w:rPr>
          <w:b/>
          <w:color w:val="231F20"/>
          <w:sz w:val="24"/>
        </w:rPr>
        <w:t> any individual student, unless the student, his parent or guardian requests otherwise.</w:t>
      </w:r>
    </w:p>
    <w:p>
      <w:pPr>
        <w:pStyle w:val="BodyText"/>
        <w:spacing w:before="7"/>
        <w:rPr>
          <w:b/>
          <w:sz w:val="23"/>
        </w:rPr>
      </w:pPr>
    </w:p>
    <w:p>
      <w:pPr>
        <w:pStyle w:val="BodyText"/>
        <w:ind w:left="475"/>
      </w:pPr>
      <w:bookmarkStart w:name="Commentary" w:id="136"/>
      <w:bookmarkEnd w:id="136"/>
      <w:r>
        <w:rPr/>
      </w:r>
      <w:r>
        <w:rPr>
          <w:color w:val="231F20"/>
          <w:spacing w:val="-2"/>
          <w:u w:val="single" w:color="231F20"/>
        </w:rPr>
        <w:t>Commentary</w:t>
      </w:r>
    </w:p>
    <w:p>
      <w:pPr>
        <w:pStyle w:val="BodyText"/>
        <w:spacing w:before="11"/>
        <w:rPr>
          <w:sz w:val="27"/>
        </w:rPr>
      </w:pPr>
    </w:p>
    <w:p>
      <w:pPr>
        <w:pStyle w:val="BodyText"/>
        <w:ind w:left="475" w:right="599"/>
        <w:jc w:val="both"/>
        <w:rPr>
          <w:i/>
        </w:rPr>
      </w:pPr>
      <w:r>
        <w:rPr>
          <w:color w:val="231F20"/>
        </w:rPr>
        <w:t>This exception is intended to cover discussions that involve personally identifiable information about a student. The exception reflects the protection the federal Family Educational</w:t>
      </w:r>
      <w:r>
        <w:rPr>
          <w:color w:val="231F20"/>
          <w:spacing w:val="40"/>
        </w:rPr>
        <w:t> </w:t>
      </w:r>
      <w:r>
        <w:rPr>
          <w:color w:val="231F20"/>
        </w:rPr>
        <w:t>Rights and Privacy</w:t>
      </w:r>
      <w:r>
        <w:rPr>
          <w:color w:val="231F20"/>
          <w:spacing w:val="-4"/>
        </w:rPr>
        <w:t> </w:t>
      </w:r>
      <w:r>
        <w:rPr>
          <w:color w:val="231F20"/>
        </w:rPr>
        <w:t>Act (“FERPA”) provides for similar</w:t>
      </w:r>
      <w:r>
        <w:rPr>
          <w:color w:val="231F20"/>
          <w:spacing w:val="34"/>
        </w:rPr>
        <w:t> </w:t>
      </w:r>
      <w:r>
        <w:rPr>
          <w:color w:val="231F20"/>
        </w:rPr>
        <w:t>information</w:t>
      </w:r>
      <w:r>
        <w:rPr>
          <w:color w:val="231F20"/>
          <w:spacing w:val="35"/>
        </w:rPr>
        <w:t> </w:t>
      </w:r>
      <w:r>
        <w:rPr>
          <w:color w:val="231F20"/>
        </w:rPr>
        <w:t>in</w:t>
      </w:r>
      <w:r>
        <w:rPr>
          <w:color w:val="231F20"/>
          <w:spacing w:val="35"/>
        </w:rPr>
        <w:t> </w:t>
      </w:r>
      <w:r>
        <w:rPr>
          <w:color w:val="231F20"/>
        </w:rPr>
        <w:t>educational</w:t>
      </w:r>
      <w:r>
        <w:rPr>
          <w:color w:val="231F20"/>
          <w:spacing w:val="35"/>
        </w:rPr>
        <w:t> </w:t>
      </w:r>
      <w:r>
        <w:rPr>
          <w:color w:val="231F20"/>
        </w:rPr>
        <w:t>records.</w:t>
      </w:r>
      <w:r>
        <w:rPr>
          <w:color w:val="231F20"/>
          <w:spacing w:val="35"/>
        </w:rPr>
        <w:t> </w:t>
      </w:r>
      <w:r>
        <w:rPr>
          <w:i/>
          <w:color w:val="231F20"/>
          <w:spacing w:val="-5"/>
        </w:rPr>
        <w:t>See</w:t>
      </w:r>
    </w:p>
    <w:p>
      <w:pPr>
        <w:pStyle w:val="BodyText"/>
        <w:ind w:left="475" w:right="598"/>
        <w:jc w:val="both"/>
      </w:pPr>
      <w:r>
        <w:rPr>
          <w:color w:val="231F20"/>
        </w:rPr>
        <w:t>20 U.S.C. Section 1232g. Under FERPA, a school risks losing federal funding if it has a policy or practice of permitting the release of records containing information directly related</w:t>
      </w:r>
      <w:r>
        <w:rPr>
          <w:color w:val="231F20"/>
          <w:spacing w:val="40"/>
        </w:rPr>
        <w:t> </w:t>
      </w:r>
      <w:r>
        <w:rPr>
          <w:color w:val="231F20"/>
        </w:rPr>
        <w:t>to a student or “personally identifiable information”</w:t>
      </w:r>
      <w:r>
        <w:rPr>
          <w:color w:val="231F20"/>
          <w:spacing w:val="-3"/>
        </w:rPr>
        <w:t> </w:t>
      </w:r>
      <w:r>
        <w:rPr>
          <w:color w:val="231F20"/>
        </w:rPr>
        <w:t>contained</w:t>
      </w:r>
      <w:r>
        <w:rPr>
          <w:color w:val="231F20"/>
          <w:spacing w:val="-2"/>
        </w:rPr>
        <w:t> </w:t>
      </w:r>
      <w:r>
        <w:rPr>
          <w:color w:val="231F20"/>
        </w:rPr>
        <w:t>in</w:t>
      </w:r>
      <w:r>
        <w:rPr>
          <w:color w:val="231F20"/>
          <w:spacing w:val="-2"/>
        </w:rPr>
        <w:t> </w:t>
      </w:r>
      <w:r>
        <w:rPr>
          <w:color w:val="231F20"/>
        </w:rPr>
        <w:t>those</w:t>
      </w:r>
      <w:r>
        <w:rPr>
          <w:color w:val="231F20"/>
          <w:spacing w:val="-3"/>
        </w:rPr>
        <w:t> </w:t>
      </w:r>
      <w:r>
        <w:rPr>
          <w:color w:val="231F20"/>
        </w:rPr>
        <w:t>records. Federal regulations promulgated under FERPA define “personally identifiable information” to include a student’s name; parent’s or other family member’s name; the address of a student or student’s family; a student’s social security number, student number or other personal identifier; and a list of personal characteristics</w:t>
      </w:r>
      <w:r>
        <w:rPr>
          <w:color w:val="231F20"/>
          <w:spacing w:val="40"/>
        </w:rPr>
        <w:t> </w:t>
      </w:r>
      <w:r>
        <w:rPr>
          <w:color w:val="231F20"/>
        </w:rPr>
        <w:t>or</w:t>
      </w:r>
      <w:r>
        <w:rPr>
          <w:color w:val="231F20"/>
        </w:rPr>
        <w:t> other</w:t>
      </w:r>
      <w:r>
        <w:rPr>
          <w:color w:val="231F20"/>
        </w:rPr>
        <w:t> information that would make the student’s identity</w:t>
      </w:r>
      <w:r>
        <w:rPr>
          <w:color w:val="231F20"/>
          <w:spacing w:val="-4"/>
        </w:rPr>
        <w:t> </w:t>
      </w:r>
      <w:r>
        <w:rPr>
          <w:color w:val="231F20"/>
        </w:rPr>
        <w:t>easily</w:t>
      </w:r>
      <w:r>
        <w:rPr>
          <w:color w:val="231F20"/>
          <w:spacing w:val="-4"/>
        </w:rPr>
        <w:t> </w:t>
      </w:r>
      <w:r>
        <w:rPr>
          <w:color w:val="231F20"/>
        </w:rPr>
        <w:t>traceable.</w:t>
      </w:r>
      <w:r>
        <w:rPr>
          <w:color w:val="231F20"/>
          <w:spacing w:val="-1"/>
        </w:rPr>
        <w:t> </w:t>
      </w:r>
      <w:r>
        <w:rPr>
          <w:i/>
          <w:color w:val="231F20"/>
        </w:rPr>
        <w:t>See</w:t>
      </w:r>
      <w:r>
        <w:rPr>
          <w:i/>
          <w:color w:val="231F20"/>
          <w:spacing w:val="-1"/>
        </w:rPr>
        <w:t> </w:t>
      </w:r>
      <w:r>
        <w:rPr>
          <w:color w:val="231F20"/>
        </w:rPr>
        <w:t>34</w:t>
      </w:r>
      <w:r>
        <w:rPr>
          <w:color w:val="231F20"/>
          <w:spacing w:val="-1"/>
        </w:rPr>
        <w:t> </w:t>
      </w:r>
      <w:r>
        <w:rPr>
          <w:color w:val="231F20"/>
        </w:rPr>
        <w:t>C.F.R. Section 99.3.</w:t>
      </w:r>
    </w:p>
    <w:p>
      <w:pPr>
        <w:pStyle w:val="BodyText"/>
        <w:rPr>
          <w:sz w:val="28"/>
        </w:rPr>
      </w:pPr>
    </w:p>
    <w:p>
      <w:pPr>
        <w:pStyle w:val="BodyText"/>
        <w:ind w:left="475" w:right="597"/>
        <w:jc w:val="both"/>
      </w:pPr>
      <w:r>
        <w:rPr>
          <w:color w:val="231F20"/>
        </w:rPr>
        <w:t>Essentially, therefore, the exception for</w:t>
      </w:r>
      <w:r>
        <w:rPr>
          <w:color w:val="231F20"/>
          <w:spacing w:val="40"/>
        </w:rPr>
        <w:t> </w:t>
      </w:r>
      <w:r>
        <w:rPr>
          <w:color w:val="231F20"/>
        </w:rPr>
        <w:t>meetings to discuss personally identifiable information permits a school board or board of education to close a meeting whenever it discusses an individual student, unless the student, or his parent or guardian, requests that the discussion occur in public. Although the exception does not expressly limit its application, the context of the exception makes</w:t>
      </w:r>
      <w:r>
        <w:rPr>
          <w:color w:val="231F20"/>
          <w:spacing w:val="40"/>
        </w:rPr>
        <w:t> </w:t>
      </w:r>
      <w:r>
        <w:rPr>
          <w:color w:val="231F20"/>
        </w:rPr>
        <w:t>it clear</w:t>
      </w:r>
      <w:r>
        <w:rPr>
          <w:color w:val="231F20"/>
          <w:spacing w:val="-1"/>
        </w:rPr>
        <w:t> </w:t>
      </w:r>
      <w:r>
        <w:rPr>
          <w:color w:val="231F20"/>
        </w:rPr>
        <w:t>that it is not</w:t>
      </w:r>
      <w:r>
        <w:rPr>
          <w:color w:val="231F20"/>
          <w:spacing w:val="-2"/>
        </w:rPr>
        <w:t> </w:t>
      </w:r>
      <w:r>
        <w:rPr>
          <w:color w:val="231F20"/>
        </w:rPr>
        <w:t>meant to apply</w:t>
      </w:r>
      <w:r>
        <w:rPr>
          <w:color w:val="231F20"/>
          <w:spacing w:val="-7"/>
        </w:rPr>
        <w:t> </w:t>
      </w:r>
      <w:r>
        <w:rPr>
          <w:color w:val="231F20"/>
        </w:rPr>
        <w:t>to any</w:t>
      </w:r>
      <w:r>
        <w:rPr>
          <w:color w:val="231F20"/>
          <w:spacing w:val="-5"/>
        </w:rPr>
        <w:t> </w:t>
      </w:r>
      <w:r>
        <w:rPr>
          <w:color w:val="231F20"/>
        </w:rPr>
        <w:t>public body that discusses an individual who happens to be a student somewhere. Like FERPA, which applies only to records held by educational agencies</w:t>
      </w:r>
      <w:r>
        <w:rPr>
          <w:color w:val="231F20"/>
          <w:spacing w:val="77"/>
          <w:w w:val="150"/>
        </w:rPr>
        <w:t> </w:t>
      </w:r>
      <w:r>
        <w:rPr>
          <w:color w:val="231F20"/>
        </w:rPr>
        <w:t>and</w:t>
      </w:r>
      <w:r>
        <w:rPr>
          <w:color w:val="231F20"/>
          <w:spacing w:val="77"/>
          <w:w w:val="150"/>
        </w:rPr>
        <w:t> </w:t>
      </w:r>
      <w:r>
        <w:rPr>
          <w:color w:val="231F20"/>
        </w:rPr>
        <w:t>institutions,</w:t>
      </w:r>
      <w:r>
        <w:rPr>
          <w:color w:val="231F20"/>
          <w:spacing w:val="78"/>
          <w:w w:val="150"/>
        </w:rPr>
        <w:t> </w:t>
      </w:r>
      <w:r>
        <w:rPr>
          <w:color w:val="231F20"/>
        </w:rPr>
        <w:t>only</w:t>
      </w:r>
      <w:r>
        <w:rPr>
          <w:color w:val="231F20"/>
          <w:spacing w:val="70"/>
          <w:w w:val="150"/>
        </w:rPr>
        <w:t> </w:t>
      </w:r>
      <w:r>
        <w:rPr>
          <w:color w:val="231F20"/>
        </w:rPr>
        <w:t>those</w:t>
      </w:r>
      <w:r>
        <w:rPr>
          <w:color w:val="231F20"/>
          <w:spacing w:val="77"/>
          <w:w w:val="150"/>
        </w:rPr>
        <w:t> </w:t>
      </w:r>
      <w:r>
        <w:rPr>
          <w:color w:val="231F20"/>
          <w:spacing w:val="-2"/>
        </w:rPr>
        <w:t>public</w:t>
      </w:r>
    </w:p>
    <w:p>
      <w:pPr>
        <w:spacing w:after="0"/>
        <w:jc w:val="both"/>
        <w:sectPr>
          <w:type w:val="continuous"/>
          <w:pgSz w:w="12240" w:h="15840"/>
          <w:pgMar w:header="660" w:footer="484" w:top="480" w:bottom="280" w:left="360" w:right="240"/>
          <w:cols w:num="2" w:equalWidth="0">
            <w:col w:w="5198" w:space="684"/>
            <w:col w:w="5758"/>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39"/>
        <w:jc w:val="both"/>
      </w:pPr>
      <w:r>
        <w:rPr>
          <w:color w:val="231F20"/>
        </w:rPr>
        <w:t>bodies that govern or regulate school districts or educational institutions, such as local school boards and university boards of regents, can legitimately rely on the exception to close a </w:t>
      </w:r>
      <w:r>
        <w:rPr>
          <w:color w:val="231F20"/>
          <w:spacing w:val="-2"/>
        </w:rPr>
        <w:t>meeting.</w:t>
      </w:r>
    </w:p>
    <w:p>
      <w:pPr>
        <w:pStyle w:val="BodyText"/>
        <w:spacing w:before="11"/>
        <w:rPr>
          <w:sz w:val="23"/>
        </w:rPr>
      </w:pPr>
    </w:p>
    <w:p>
      <w:pPr>
        <w:spacing w:before="0"/>
        <w:ind w:left="475" w:right="0" w:firstLine="0"/>
        <w:jc w:val="both"/>
        <w:rPr>
          <w:i/>
          <w:sz w:val="24"/>
        </w:rPr>
      </w:pPr>
      <w:bookmarkStart w:name="Example 48:" w:id="137"/>
      <w:bookmarkEnd w:id="13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48:</w:t>
      </w:r>
    </w:p>
    <w:p>
      <w:pPr>
        <w:pStyle w:val="BodyText"/>
        <w:rPr>
          <w:i/>
          <w:sz w:val="28"/>
        </w:rPr>
      </w:pPr>
    </w:p>
    <w:p>
      <w:pPr>
        <w:spacing w:before="0"/>
        <w:ind w:left="475" w:right="38" w:firstLine="0"/>
        <w:jc w:val="both"/>
        <w:rPr>
          <w:i/>
          <w:sz w:val="24"/>
        </w:rPr>
      </w:pPr>
      <w:r>
        <w:rPr>
          <w:i/>
          <w:color w:val="231F20"/>
          <w:sz w:val="24"/>
        </w:rPr>
        <w:t>A local school board meets to discuss whether</w:t>
      </w:r>
      <w:r>
        <w:rPr>
          <w:i/>
          <w:color w:val="231F20"/>
          <w:spacing w:val="40"/>
          <w:sz w:val="24"/>
        </w:rPr>
        <w:t> </w:t>
      </w:r>
      <w:r>
        <w:rPr>
          <w:i/>
          <w:color w:val="231F20"/>
          <w:sz w:val="24"/>
        </w:rPr>
        <w:t>to suspend a high school student. Unless the student or her parents request a public </w:t>
      </w:r>
      <w:r>
        <w:rPr>
          <w:i/>
          <w:color w:val="231F20"/>
          <w:sz w:val="24"/>
        </w:rPr>
        <w:t>hearing, the school board should hold a closed meeting</w:t>
      </w:r>
      <w:r>
        <w:rPr>
          <w:i/>
          <w:color w:val="231F20"/>
          <w:spacing w:val="40"/>
          <w:sz w:val="24"/>
        </w:rPr>
        <w:t> </w:t>
      </w:r>
      <w:r>
        <w:rPr>
          <w:i/>
          <w:color w:val="231F20"/>
          <w:sz w:val="24"/>
        </w:rPr>
        <w:t>to discuss the circumstances leading to the disciplinary action and what action is </w:t>
      </w:r>
      <w:r>
        <w:rPr>
          <w:i/>
          <w:color w:val="231F20"/>
          <w:spacing w:val="-2"/>
          <w:sz w:val="24"/>
        </w:rPr>
        <w:t>appropriate.</w:t>
      </w:r>
    </w:p>
    <w:p>
      <w:pPr>
        <w:pStyle w:val="BodyText"/>
        <w:rPr>
          <w:i/>
        </w:rPr>
      </w:pPr>
    </w:p>
    <w:p>
      <w:pPr>
        <w:spacing w:before="0"/>
        <w:ind w:left="475" w:right="0" w:firstLine="0"/>
        <w:jc w:val="both"/>
        <w:rPr>
          <w:i/>
          <w:sz w:val="24"/>
        </w:rPr>
      </w:pPr>
      <w:bookmarkStart w:name="Example 49:" w:id="138"/>
      <w:bookmarkEnd w:id="13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49:</w:t>
      </w:r>
    </w:p>
    <w:p>
      <w:pPr>
        <w:pStyle w:val="BodyText"/>
        <w:rPr>
          <w:i/>
        </w:rPr>
      </w:pPr>
    </w:p>
    <w:p>
      <w:pPr>
        <w:spacing w:before="0"/>
        <w:ind w:left="475" w:right="39" w:firstLine="0"/>
        <w:jc w:val="both"/>
        <w:rPr>
          <w:i/>
          <w:sz w:val="24"/>
        </w:rPr>
      </w:pPr>
      <w:r>
        <w:rPr>
          <w:i/>
          <w:color w:val="231F20"/>
          <w:sz w:val="24"/>
        </w:rPr>
        <w:t>The Real Estate Commission holds a public</w:t>
      </w:r>
      <w:r>
        <w:rPr>
          <w:i/>
          <w:color w:val="231F20"/>
          <w:sz w:val="24"/>
        </w:rPr>
        <w:t> hearing before revoking a broker’s license. The broker is a student at the local community college. The Commission cannot close the hearing on the basis that it will involve the discussion</w:t>
      </w:r>
      <w:r>
        <w:rPr>
          <w:i/>
          <w:color w:val="231F20"/>
          <w:spacing w:val="-6"/>
          <w:sz w:val="24"/>
        </w:rPr>
        <w:t> </w:t>
      </w:r>
      <w:r>
        <w:rPr>
          <w:i/>
          <w:color w:val="231F20"/>
          <w:sz w:val="24"/>
        </w:rPr>
        <w:t>of</w:t>
      </w:r>
      <w:r>
        <w:rPr>
          <w:i/>
          <w:color w:val="231F20"/>
          <w:spacing w:val="-6"/>
          <w:sz w:val="24"/>
        </w:rPr>
        <w:t> </w:t>
      </w:r>
      <w:r>
        <w:rPr>
          <w:i/>
          <w:color w:val="231F20"/>
          <w:sz w:val="24"/>
        </w:rPr>
        <w:t>personally</w:t>
      </w:r>
      <w:r>
        <w:rPr>
          <w:i/>
          <w:color w:val="231F20"/>
          <w:spacing w:val="-5"/>
          <w:sz w:val="24"/>
        </w:rPr>
        <w:t> </w:t>
      </w:r>
      <w:r>
        <w:rPr>
          <w:i/>
          <w:color w:val="231F20"/>
          <w:sz w:val="24"/>
        </w:rPr>
        <w:t>identifiable</w:t>
      </w:r>
      <w:r>
        <w:rPr>
          <w:i/>
          <w:color w:val="231F20"/>
          <w:spacing w:val="-7"/>
          <w:sz w:val="24"/>
        </w:rPr>
        <w:t> </w:t>
      </w:r>
      <w:r>
        <w:rPr>
          <w:i/>
          <w:color w:val="231F20"/>
          <w:sz w:val="24"/>
        </w:rPr>
        <w:t>information about the broker.</w:t>
      </w:r>
    </w:p>
    <w:p>
      <w:pPr>
        <w:pStyle w:val="BodyText"/>
        <w:rPr>
          <w:i/>
        </w:rPr>
      </w:pPr>
    </w:p>
    <w:p>
      <w:pPr>
        <w:pStyle w:val="BodyText"/>
        <w:ind w:left="475"/>
      </w:pPr>
      <w:bookmarkStart w:name="Commentary" w:id="139"/>
      <w:bookmarkEnd w:id="139"/>
      <w:r>
        <w:rPr/>
      </w:r>
      <w:r>
        <w:rPr>
          <w:color w:val="231F20"/>
          <w:spacing w:val="-2"/>
          <w:u w:val="single" w:color="231F20"/>
        </w:rPr>
        <w:t>Commentary</w:t>
      </w:r>
    </w:p>
    <w:p>
      <w:pPr>
        <w:pStyle w:val="BodyText"/>
      </w:pPr>
    </w:p>
    <w:p>
      <w:pPr>
        <w:pStyle w:val="BodyText"/>
        <w:ind w:left="475" w:right="39"/>
        <w:jc w:val="both"/>
      </w:pPr>
      <w:r>
        <w:rPr>
          <w:color w:val="231F20"/>
        </w:rPr>
        <w:t>As with the exception for limited personnel matters, a school board or similar public body cannot rely on this paragraph to close a meeting to discuss or take action on educational policies and procedures, budgetary matters and other issues that involve students generally. The exception applies only to discussions relating to individual students. Other specific statutes governing schools also may require public meetings to discuss general student matters. For example,</w:t>
      </w:r>
      <w:r>
        <w:rPr>
          <w:color w:val="231F20"/>
        </w:rPr>
        <w:t> </w:t>
      </w:r>
      <w:r>
        <w:rPr>
          <w:i/>
          <w:color w:val="231F20"/>
        </w:rPr>
        <w:t>see </w:t>
      </w:r>
      <w:r>
        <w:rPr>
          <w:color w:val="231F20"/>
        </w:rPr>
        <w:t>NMSA 1978, Section 22-5-4.3 (requiring local school boards to involve</w:t>
      </w:r>
      <w:r>
        <w:rPr>
          <w:color w:val="231F20"/>
          <w:spacing w:val="40"/>
        </w:rPr>
        <w:t> </w:t>
      </w:r>
      <w:r>
        <w:rPr>
          <w:color w:val="231F20"/>
        </w:rPr>
        <w:t>parents,</w:t>
      </w:r>
      <w:r>
        <w:rPr>
          <w:color w:val="231F20"/>
          <w:spacing w:val="-1"/>
        </w:rPr>
        <w:t> </w:t>
      </w:r>
      <w:r>
        <w:rPr>
          <w:color w:val="231F20"/>
        </w:rPr>
        <w:t>school personnel and</w:t>
      </w:r>
      <w:r>
        <w:rPr>
          <w:color w:val="231F20"/>
          <w:spacing w:val="-1"/>
        </w:rPr>
        <w:t> </w:t>
      </w:r>
      <w:r>
        <w:rPr>
          <w:color w:val="231F20"/>
        </w:rPr>
        <w:t>students in,</w:t>
      </w:r>
      <w:r>
        <w:rPr>
          <w:color w:val="231F20"/>
          <w:spacing w:val="-1"/>
        </w:rPr>
        <w:t> </w:t>
      </w:r>
      <w:r>
        <w:rPr>
          <w:color w:val="231F20"/>
        </w:rPr>
        <w:t>and</w:t>
      </w:r>
      <w:r>
        <w:rPr>
          <w:color w:val="231F20"/>
          <w:spacing w:val="-1"/>
        </w:rPr>
        <w:t> </w:t>
      </w:r>
      <w:r>
        <w:rPr>
          <w:color w:val="231F20"/>
        </w:rPr>
        <w:t>to hold public hearings on, the development of student discipline policies).</w:t>
      </w:r>
    </w:p>
    <w:p>
      <w:pPr>
        <w:pStyle w:val="BodyText"/>
      </w:pPr>
    </w:p>
    <w:p>
      <w:pPr>
        <w:pStyle w:val="ListParagraph"/>
        <w:numPr>
          <w:ilvl w:val="0"/>
          <w:numId w:val="11"/>
        </w:numPr>
        <w:tabs>
          <w:tab w:pos="716" w:val="left" w:leader="none"/>
        </w:tabs>
        <w:spacing w:line="240" w:lineRule="auto" w:before="1" w:after="0"/>
        <w:ind w:left="715" w:right="0" w:hanging="241"/>
        <w:jc w:val="left"/>
        <w:rPr>
          <w:sz w:val="24"/>
        </w:rPr>
      </w:pPr>
      <w:bookmarkStart w:name="5. Collective Bargaining" w:id="140"/>
      <w:bookmarkEnd w:id="140"/>
      <w:r>
        <w:rPr>
          <w:color w:val="231F20"/>
          <w:sz w:val="24"/>
          <w:u w:val="single" w:color="231F20"/>
        </w:rPr>
        <w:t>C</w:t>
      </w:r>
      <w:r>
        <w:rPr>
          <w:color w:val="231F20"/>
          <w:sz w:val="24"/>
          <w:u w:val="single" w:color="231F20"/>
        </w:rPr>
        <w:t>ollective</w:t>
      </w:r>
      <w:r>
        <w:rPr>
          <w:color w:val="231F20"/>
          <w:spacing w:val="-3"/>
          <w:sz w:val="24"/>
          <w:u w:val="single" w:color="231F20"/>
        </w:rPr>
        <w:t> </w:t>
      </w:r>
      <w:r>
        <w:rPr>
          <w:color w:val="231F20"/>
          <w:spacing w:val="-2"/>
          <w:sz w:val="24"/>
          <w:u w:val="single" w:color="231F20"/>
        </w:rPr>
        <w:t>Bargaining</w:t>
      </w:r>
    </w:p>
    <w:p>
      <w:pPr>
        <w:pStyle w:val="BodyText"/>
        <w:spacing w:before="4"/>
      </w:pPr>
    </w:p>
    <w:p>
      <w:pPr>
        <w:spacing w:before="1"/>
        <w:ind w:left="475" w:right="0" w:firstLine="0"/>
        <w:jc w:val="left"/>
        <w:rPr>
          <w:b/>
          <w:sz w:val="24"/>
        </w:rPr>
      </w:pPr>
      <w:bookmarkStart w:name="The Law" w:id="141"/>
      <w:bookmarkEnd w:id="141"/>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3"/>
        </w:rPr>
      </w:pPr>
    </w:p>
    <w:p>
      <w:pPr>
        <w:spacing w:before="0"/>
        <w:ind w:left="475" w:right="0" w:firstLine="0"/>
        <w:jc w:val="left"/>
        <w:rPr>
          <w:b/>
          <w:sz w:val="24"/>
        </w:rPr>
      </w:pPr>
      <w:r>
        <w:rPr>
          <w:b/>
          <w:color w:val="231F20"/>
          <w:sz w:val="24"/>
        </w:rPr>
        <w:t>Meetings</w:t>
      </w:r>
      <w:r>
        <w:rPr>
          <w:b/>
          <w:color w:val="231F20"/>
          <w:spacing w:val="56"/>
          <w:w w:val="150"/>
          <w:sz w:val="24"/>
        </w:rPr>
        <w:t> </w:t>
      </w:r>
      <w:r>
        <w:rPr>
          <w:b/>
          <w:color w:val="231F20"/>
          <w:sz w:val="24"/>
        </w:rPr>
        <w:t>for</w:t>
      </w:r>
      <w:r>
        <w:rPr>
          <w:b/>
          <w:color w:val="231F20"/>
          <w:spacing w:val="56"/>
          <w:w w:val="150"/>
          <w:sz w:val="24"/>
        </w:rPr>
        <w:t> </w:t>
      </w:r>
      <w:r>
        <w:rPr>
          <w:b/>
          <w:color w:val="231F20"/>
          <w:sz w:val="24"/>
        </w:rPr>
        <w:t>the</w:t>
      </w:r>
      <w:r>
        <w:rPr>
          <w:b/>
          <w:color w:val="231F20"/>
          <w:spacing w:val="58"/>
          <w:w w:val="150"/>
          <w:sz w:val="24"/>
        </w:rPr>
        <w:t> </w:t>
      </w:r>
      <w:r>
        <w:rPr>
          <w:b/>
          <w:color w:val="231F20"/>
          <w:sz w:val="24"/>
        </w:rPr>
        <w:t>discussion</w:t>
      </w:r>
      <w:r>
        <w:rPr>
          <w:b/>
          <w:color w:val="231F20"/>
          <w:spacing w:val="57"/>
          <w:w w:val="150"/>
          <w:sz w:val="24"/>
        </w:rPr>
        <w:t> </w:t>
      </w:r>
      <w:r>
        <w:rPr>
          <w:b/>
          <w:color w:val="231F20"/>
          <w:sz w:val="24"/>
        </w:rPr>
        <w:t>of</w:t>
      </w:r>
      <w:r>
        <w:rPr>
          <w:b/>
          <w:color w:val="231F20"/>
          <w:spacing w:val="58"/>
          <w:w w:val="150"/>
          <w:sz w:val="24"/>
        </w:rPr>
        <w:t> </w:t>
      </w:r>
      <w:r>
        <w:rPr>
          <w:b/>
          <w:color w:val="231F20"/>
          <w:spacing w:val="-2"/>
          <w:sz w:val="24"/>
        </w:rPr>
        <w:t>bargaining</w:t>
      </w:r>
    </w:p>
    <w:p>
      <w:pPr>
        <w:spacing w:before="94"/>
        <w:ind w:left="475" w:right="598" w:firstLine="0"/>
        <w:jc w:val="both"/>
        <w:rPr>
          <w:b/>
          <w:sz w:val="24"/>
        </w:rPr>
      </w:pPr>
      <w:r>
        <w:rPr/>
        <w:br w:type="column"/>
      </w:r>
      <w:r>
        <w:rPr>
          <w:b/>
          <w:color w:val="231F20"/>
          <w:sz w:val="24"/>
        </w:rPr>
        <w:t>strategy</w:t>
      </w:r>
      <w:r>
        <w:rPr>
          <w:b/>
          <w:color w:val="231F20"/>
          <w:sz w:val="24"/>
        </w:rPr>
        <w:t> preliminary to collective bargaining negotiations between the policymaking body and a bargaining unit</w:t>
      </w:r>
      <w:r>
        <w:rPr>
          <w:b/>
          <w:color w:val="231F20"/>
          <w:sz w:val="24"/>
        </w:rPr>
        <w:t> representing the employees of that</w:t>
      </w:r>
      <w:r>
        <w:rPr>
          <w:b/>
          <w:color w:val="231F20"/>
          <w:sz w:val="24"/>
        </w:rPr>
        <w:t> policymaking body and collective bargaining sessions at which the policymaking</w:t>
      </w:r>
      <w:r>
        <w:rPr>
          <w:b/>
          <w:color w:val="231F20"/>
          <w:spacing w:val="-3"/>
          <w:sz w:val="24"/>
        </w:rPr>
        <w:t> </w:t>
      </w:r>
      <w:r>
        <w:rPr>
          <w:b/>
          <w:color w:val="231F20"/>
          <w:sz w:val="24"/>
        </w:rPr>
        <w:t>body</w:t>
      </w:r>
      <w:r>
        <w:rPr>
          <w:b/>
          <w:color w:val="231F20"/>
          <w:spacing w:val="-5"/>
          <w:sz w:val="24"/>
        </w:rPr>
        <w:t> </w:t>
      </w:r>
      <w:r>
        <w:rPr>
          <w:b/>
          <w:color w:val="231F20"/>
          <w:sz w:val="24"/>
        </w:rPr>
        <w:t>and</w:t>
      </w:r>
      <w:r>
        <w:rPr>
          <w:b/>
          <w:color w:val="231F20"/>
          <w:spacing w:val="-4"/>
          <w:sz w:val="24"/>
        </w:rPr>
        <w:t> </w:t>
      </w:r>
      <w:r>
        <w:rPr>
          <w:b/>
          <w:color w:val="231F20"/>
          <w:sz w:val="24"/>
        </w:rPr>
        <w:t>the</w:t>
      </w:r>
      <w:r>
        <w:rPr>
          <w:b/>
          <w:color w:val="231F20"/>
          <w:spacing w:val="-4"/>
          <w:sz w:val="24"/>
        </w:rPr>
        <w:t> </w:t>
      </w:r>
      <w:r>
        <w:rPr>
          <w:b/>
          <w:color w:val="231F20"/>
          <w:sz w:val="24"/>
        </w:rPr>
        <w:t>representatives</w:t>
      </w:r>
      <w:r>
        <w:rPr>
          <w:b/>
          <w:color w:val="231F20"/>
          <w:spacing w:val="-2"/>
          <w:sz w:val="24"/>
        </w:rPr>
        <w:t> </w:t>
      </w:r>
      <w:r>
        <w:rPr>
          <w:b/>
          <w:color w:val="231F20"/>
          <w:sz w:val="24"/>
        </w:rPr>
        <w:t>of the collective bargaining unit are present.</w:t>
      </w:r>
    </w:p>
    <w:p>
      <w:pPr>
        <w:pStyle w:val="BodyText"/>
        <w:spacing w:before="7"/>
        <w:rPr>
          <w:b/>
          <w:sz w:val="23"/>
        </w:rPr>
      </w:pPr>
    </w:p>
    <w:p>
      <w:pPr>
        <w:pStyle w:val="BodyText"/>
        <w:ind w:left="475"/>
      </w:pPr>
      <w:bookmarkStart w:name="Commentary" w:id="142"/>
      <w:bookmarkEnd w:id="142"/>
      <w:r>
        <w:rPr/>
      </w:r>
      <w:r>
        <w:rPr>
          <w:color w:val="231F20"/>
          <w:spacing w:val="-2"/>
          <w:u w:val="single" w:color="231F20"/>
        </w:rPr>
        <w:t>Commentary</w:t>
      </w:r>
    </w:p>
    <w:p>
      <w:pPr>
        <w:pStyle w:val="BodyText"/>
      </w:pPr>
    </w:p>
    <w:p>
      <w:pPr>
        <w:pStyle w:val="BodyText"/>
        <w:ind w:left="475" w:right="598"/>
        <w:jc w:val="both"/>
      </w:pPr>
      <w:r>
        <w:rPr>
          <w:color w:val="231F20"/>
        </w:rPr>
        <w:t>This exception allows a public body that is involved, or is considering becoming involved, in collective bargaining to discuss its preliminary</w:t>
      </w:r>
      <w:r>
        <w:rPr>
          <w:color w:val="231F20"/>
        </w:rPr>
        <w:t> strategy in closed session and to conduct negotiations with representatives of a collective bargaining unit in closed session. A “bargaining unit” for purposes of the exception is a group of employees with certain occupational characteristics (e.g., blue collar, secretarial,</w:t>
      </w:r>
      <w:r>
        <w:rPr>
          <w:color w:val="231F20"/>
        </w:rPr>
        <w:t> clerical,</w:t>
      </w:r>
      <w:r>
        <w:rPr>
          <w:color w:val="231F20"/>
        </w:rPr>
        <w:t> etc.)</w:t>
      </w:r>
      <w:r>
        <w:rPr>
          <w:color w:val="231F20"/>
        </w:rPr>
        <w:t> that</w:t>
      </w:r>
      <w:r>
        <w:rPr>
          <w:color w:val="231F20"/>
        </w:rPr>
        <w:t> has been</w:t>
      </w:r>
      <w:r>
        <w:rPr>
          <w:color w:val="231F20"/>
          <w:spacing w:val="40"/>
        </w:rPr>
        <w:t> </w:t>
      </w:r>
      <w:r>
        <w:rPr>
          <w:color w:val="231F20"/>
        </w:rPr>
        <w:t>confirmed or designated as appropriate for collective bargaining purposes. The “representative of a collective bargaining unit”</w:t>
      </w:r>
      <w:r>
        <w:rPr>
          <w:color w:val="231F20"/>
          <w:spacing w:val="40"/>
        </w:rPr>
        <w:t> </w:t>
      </w:r>
      <w:r>
        <w:rPr>
          <w:color w:val="231F20"/>
        </w:rPr>
        <w:t>is generally a labor organization or union that represents employees regarding the terms and conditions of employment.</w:t>
      </w:r>
    </w:p>
    <w:p>
      <w:pPr>
        <w:pStyle w:val="BodyText"/>
      </w:pPr>
    </w:p>
    <w:p>
      <w:pPr>
        <w:spacing w:before="1"/>
        <w:ind w:left="475" w:right="0" w:firstLine="0"/>
        <w:jc w:val="left"/>
        <w:rPr>
          <w:i/>
          <w:sz w:val="24"/>
        </w:rPr>
      </w:pPr>
      <w:bookmarkStart w:name="Example 50:" w:id="143"/>
      <w:bookmarkEnd w:id="14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50:</w:t>
      </w:r>
    </w:p>
    <w:p>
      <w:pPr>
        <w:pStyle w:val="BodyText"/>
        <w:rPr>
          <w:i/>
        </w:rPr>
      </w:pPr>
    </w:p>
    <w:p>
      <w:pPr>
        <w:spacing w:line="240" w:lineRule="auto" w:before="0"/>
        <w:ind w:left="475" w:right="599" w:firstLine="0"/>
        <w:jc w:val="both"/>
        <w:rPr>
          <w:i/>
          <w:sz w:val="24"/>
        </w:rPr>
      </w:pPr>
      <w:r>
        <w:rPr>
          <w:i/>
          <w:color w:val="231F20"/>
          <w:sz w:val="24"/>
        </w:rPr>
        <w:t>An ad hoc group of employees of a municipality</w:t>
      </w:r>
      <w:r>
        <w:rPr>
          <w:i/>
          <w:color w:val="231F20"/>
          <w:sz w:val="24"/>
        </w:rPr>
        <w:t> has formed to petition the governing body for increased</w:t>
      </w:r>
      <w:r>
        <w:rPr>
          <w:i/>
          <w:color w:val="231F20"/>
          <w:spacing w:val="-8"/>
          <w:sz w:val="24"/>
        </w:rPr>
        <w:t> </w:t>
      </w:r>
      <w:r>
        <w:rPr>
          <w:i/>
          <w:color w:val="231F20"/>
          <w:sz w:val="24"/>
        </w:rPr>
        <w:t>salaries.</w:t>
      </w:r>
      <w:r>
        <w:rPr>
          <w:i/>
          <w:color w:val="231F20"/>
          <w:spacing w:val="-8"/>
          <w:sz w:val="24"/>
        </w:rPr>
        <w:t> </w:t>
      </w:r>
      <w:r>
        <w:rPr>
          <w:i/>
          <w:color w:val="231F20"/>
          <w:sz w:val="24"/>
        </w:rPr>
        <w:t>Neither</w:t>
      </w:r>
      <w:r>
        <w:rPr>
          <w:i/>
          <w:color w:val="231F20"/>
          <w:spacing w:val="-8"/>
          <w:sz w:val="24"/>
        </w:rPr>
        <w:t> </w:t>
      </w:r>
      <w:r>
        <w:rPr>
          <w:i/>
          <w:color w:val="231F20"/>
          <w:sz w:val="24"/>
        </w:rPr>
        <w:t>the</w:t>
      </w:r>
      <w:r>
        <w:rPr>
          <w:i/>
          <w:color w:val="231F20"/>
          <w:spacing w:val="-8"/>
          <w:sz w:val="24"/>
        </w:rPr>
        <w:t> </w:t>
      </w:r>
      <w:r>
        <w:rPr>
          <w:i/>
          <w:color w:val="231F20"/>
          <w:sz w:val="24"/>
        </w:rPr>
        <w:t>governing</w:t>
      </w:r>
      <w:r>
        <w:rPr>
          <w:i/>
          <w:color w:val="231F20"/>
          <w:spacing w:val="-8"/>
          <w:sz w:val="24"/>
        </w:rPr>
        <w:t> </w:t>
      </w:r>
      <w:r>
        <w:rPr>
          <w:i/>
          <w:color w:val="231F20"/>
          <w:sz w:val="24"/>
        </w:rPr>
        <w:t>body’s preliminary discussion of the request nor the negotiations between representatives of the employees’ group and the governing body may be conducted in closed session because the group of employees is not a “bargaining unit” or “representatives of the collective bargaining </w:t>
      </w:r>
      <w:r>
        <w:rPr>
          <w:i/>
          <w:color w:val="231F20"/>
          <w:spacing w:val="-2"/>
          <w:sz w:val="24"/>
        </w:rPr>
        <w:t>unit.”</w:t>
      </w:r>
    </w:p>
    <w:p>
      <w:pPr>
        <w:pStyle w:val="BodyText"/>
        <w:spacing w:before="9"/>
        <w:rPr>
          <w:i/>
          <w:sz w:val="23"/>
        </w:rPr>
      </w:pPr>
    </w:p>
    <w:p>
      <w:pPr>
        <w:spacing w:before="0"/>
        <w:ind w:left="475" w:right="0" w:firstLine="0"/>
        <w:jc w:val="left"/>
        <w:rPr>
          <w:i/>
          <w:sz w:val="24"/>
        </w:rPr>
      </w:pPr>
      <w:bookmarkStart w:name="Example 51:" w:id="144"/>
      <w:bookmarkEnd w:id="14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51:</w:t>
      </w:r>
    </w:p>
    <w:p>
      <w:pPr>
        <w:pStyle w:val="BodyText"/>
        <w:rPr>
          <w:i/>
        </w:rPr>
      </w:pPr>
    </w:p>
    <w:p>
      <w:pPr>
        <w:spacing w:before="0"/>
        <w:ind w:left="475" w:right="597" w:firstLine="0"/>
        <w:jc w:val="both"/>
        <w:rPr>
          <w:i/>
          <w:sz w:val="24"/>
        </w:rPr>
      </w:pPr>
      <w:r>
        <w:rPr>
          <w:i/>
          <w:color w:val="231F20"/>
          <w:sz w:val="24"/>
        </w:rPr>
        <w:t>The governing board of a local school district</w:t>
      </w:r>
      <w:r>
        <w:rPr>
          <w:i/>
          <w:color w:val="231F20"/>
          <w:sz w:val="24"/>
        </w:rPr>
        <w:t> receives a request from a local chapter of </w:t>
      </w:r>
      <w:r>
        <w:rPr>
          <w:i/>
          <w:color w:val="231F20"/>
          <w:sz w:val="24"/>
        </w:rPr>
        <w:t>the state’s leading teacher’s organization to collectively bargain on behalf of teachers in the district. The organization has been certified by the local labor relations board as the teacher’s exclusive</w:t>
      </w:r>
      <w:r>
        <w:rPr>
          <w:i/>
          <w:color w:val="231F20"/>
          <w:spacing w:val="41"/>
          <w:sz w:val="24"/>
        </w:rPr>
        <w:t>  </w:t>
      </w:r>
      <w:r>
        <w:rPr>
          <w:i/>
          <w:color w:val="231F20"/>
          <w:sz w:val="24"/>
        </w:rPr>
        <w:t>representative.</w:t>
      </w:r>
      <w:r>
        <w:rPr>
          <w:i/>
          <w:color w:val="231F20"/>
          <w:spacing w:val="42"/>
          <w:sz w:val="24"/>
        </w:rPr>
        <w:t>  </w:t>
      </w:r>
      <w:r>
        <w:rPr>
          <w:i/>
          <w:color w:val="231F20"/>
          <w:sz w:val="24"/>
        </w:rPr>
        <w:t>Discussion</w:t>
      </w:r>
      <w:r>
        <w:rPr>
          <w:i/>
          <w:color w:val="231F20"/>
          <w:spacing w:val="41"/>
          <w:sz w:val="24"/>
        </w:rPr>
        <w:t>  </w:t>
      </w:r>
      <w:r>
        <w:rPr>
          <w:i/>
          <w:color w:val="231F20"/>
          <w:sz w:val="24"/>
        </w:rPr>
        <w:t>of</w:t>
      </w:r>
      <w:r>
        <w:rPr>
          <w:i/>
          <w:color w:val="231F20"/>
          <w:spacing w:val="43"/>
          <w:sz w:val="24"/>
        </w:rPr>
        <w:t>  </w:t>
      </w:r>
      <w:r>
        <w:rPr>
          <w:i/>
          <w:color w:val="231F20"/>
          <w:spacing w:val="-5"/>
          <w:sz w:val="24"/>
        </w:rPr>
        <w:t>the</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0" w:firstLine="0"/>
        <w:jc w:val="left"/>
        <w:rPr>
          <w:i/>
          <w:sz w:val="24"/>
        </w:rPr>
      </w:pPr>
      <w:r>
        <w:rPr>
          <w:i/>
          <w:color w:val="231F20"/>
          <w:sz w:val="24"/>
        </w:rPr>
        <w:t>bargaining request may be conducted in </w:t>
      </w:r>
      <w:r>
        <w:rPr>
          <w:i/>
          <w:color w:val="231F20"/>
          <w:sz w:val="24"/>
        </w:rPr>
        <w:t>closed</w:t>
      </w:r>
      <w:r>
        <w:rPr>
          <w:i/>
          <w:color w:val="231F20"/>
          <w:sz w:val="24"/>
        </w:rPr>
        <w:t> </w:t>
      </w:r>
      <w:r>
        <w:rPr>
          <w:i/>
          <w:color w:val="231F20"/>
          <w:spacing w:val="-2"/>
          <w:sz w:val="24"/>
        </w:rPr>
        <w:t>session.</w:t>
      </w:r>
    </w:p>
    <w:p>
      <w:pPr>
        <w:pStyle w:val="BodyText"/>
        <w:spacing w:before="11"/>
        <w:rPr>
          <w:i/>
          <w:sz w:val="23"/>
        </w:rPr>
      </w:pPr>
    </w:p>
    <w:p>
      <w:pPr>
        <w:pStyle w:val="BodyText"/>
        <w:ind w:left="475"/>
      </w:pPr>
      <w:bookmarkStart w:name="Commentary" w:id="145"/>
      <w:bookmarkEnd w:id="145"/>
      <w:r>
        <w:rPr/>
      </w:r>
      <w:r>
        <w:rPr>
          <w:color w:val="231F20"/>
          <w:spacing w:val="-2"/>
          <w:u w:val="single" w:color="231F20"/>
        </w:rPr>
        <w:t>Commentary</w:t>
      </w:r>
    </w:p>
    <w:p>
      <w:pPr>
        <w:pStyle w:val="BodyText"/>
      </w:pPr>
    </w:p>
    <w:p>
      <w:pPr>
        <w:pStyle w:val="BodyText"/>
        <w:ind w:left="475" w:right="38"/>
        <w:jc w:val="both"/>
      </w:pPr>
      <w:r>
        <w:rPr>
          <w:color w:val="231F20"/>
        </w:rPr>
        <w:t>Before the exception will apply, there must be a labor organization and bargaining unit of the public body’s employees in existence. In other words, the exception does not cover discussions of</w:t>
      </w:r>
      <w:r>
        <w:rPr>
          <w:color w:val="231F20"/>
        </w:rPr>
        <w:t> general</w:t>
      </w:r>
      <w:r>
        <w:rPr>
          <w:color w:val="231F20"/>
        </w:rPr>
        <w:t> collective</w:t>
      </w:r>
      <w:r>
        <w:rPr>
          <w:color w:val="231F20"/>
        </w:rPr>
        <w:t> bargaining</w:t>
      </w:r>
      <w:r>
        <w:rPr>
          <w:color w:val="231F20"/>
        </w:rPr>
        <w:t> policy</w:t>
      </w:r>
      <w:r>
        <w:rPr>
          <w:color w:val="231F20"/>
        </w:rPr>
        <w:t> by</w:t>
      </w:r>
      <w:r>
        <w:rPr>
          <w:color w:val="231F20"/>
        </w:rPr>
        <w:t> the public</w:t>
      </w:r>
      <w:r>
        <w:rPr>
          <w:color w:val="231F20"/>
        </w:rPr>
        <w:t> body</w:t>
      </w:r>
      <w:r>
        <w:rPr>
          <w:color w:val="231F20"/>
        </w:rPr>
        <w:t> in</w:t>
      </w:r>
      <w:r>
        <w:rPr>
          <w:color w:val="231F20"/>
        </w:rPr>
        <w:t> anticipation</w:t>
      </w:r>
      <w:r>
        <w:rPr>
          <w:color w:val="231F20"/>
        </w:rPr>
        <w:t> of</w:t>
      </w:r>
      <w:r>
        <w:rPr>
          <w:color w:val="231F20"/>
        </w:rPr>
        <w:t> potential negotiations in the future.</w:t>
      </w:r>
    </w:p>
    <w:p>
      <w:pPr>
        <w:pStyle w:val="BodyText"/>
      </w:pPr>
    </w:p>
    <w:p>
      <w:pPr>
        <w:spacing w:before="0"/>
        <w:ind w:left="475" w:right="0" w:firstLine="0"/>
        <w:jc w:val="both"/>
        <w:rPr>
          <w:i/>
          <w:sz w:val="24"/>
        </w:rPr>
      </w:pPr>
      <w:bookmarkStart w:name="Example 52:" w:id="146"/>
      <w:bookmarkEnd w:id="14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52:</w:t>
      </w:r>
    </w:p>
    <w:p>
      <w:pPr>
        <w:pStyle w:val="BodyText"/>
        <w:spacing w:before="90"/>
        <w:ind w:left="1195" w:right="600" w:hanging="360"/>
        <w:jc w:val="both"/>
      </w:pPr>
      <w:r>
        <w:rPr/>
        <w:br w:type="column"/>
      </w:r>
      <w:r>
        <w:rPr>
          <w:color w:val="231F20"/>
        </w:rPr>
        <w:t>(3) consultations and impasse resolution procedures at which the public employer and the exclusive representative of the appropriate</w:t>
      </w:r>
      <w:r>
        <w:rPr>
          <w:color w:val="231F20"/>
          <w:spacing w:val="42"/>
        </w:rPr>
        <w:t> </w:t>
      </w:r>
      <w:r>
        <w:rPr>
          <w:color w:val="231F20"/>
        </w:rPr>
        <w:t>bargaining</w:t>
      </w:r>
      <w:r>
        <w:rPr>
          <w:color w:val="231F20"/>
          <w:spacing w:val="42"/>
        </w:rPr>
        <w:t> </w:t>
      </w:r>
      <w:r>
        <w:rPr>
          <w:color w:val="231F20"/>
        </w:rPr>
        <w:t>unit</w:t>
      </w:r>
      <w:r>
        <w:rPr>
          <w:color w:val="231F20"/>
          <w:spacing w:val="45"/>
        </w:rPr>
        <w:t> </w:t>
      </w:r>
      <w:r>
        <w:rPr>
          <w:color w:val="231F20"/>
        </w:rPr>
        <w:t>are</w:t>
      </w:r>
      <w:r>
        <w:rPr>
          <w:color w:val="231F20"/>
          <w:spacing w:val="43"/>
        </w:rPr>
        <w:t> </w:t>
      </w:r>
      <w:r>
        <w:rPr>
          <w:color w:val="231F20"/>
          <w:spacing w:val="-2"/>
        </w:rPr>
        <w:t>present.</w:t>
      </w:r>
    </w:p>
    <w:p>
      <w:pPr>
        <w:pStyle w:val="BodyText"/>
        <w:spacing w:before="11"/>
        <w:rPr>
          <w:sz w:val="23"/>
        </w:rPr>
      </w:pPr>
    </w:p>
    <w:p>
      <w:pPr>
        <w:pStyle w:val="BodyText"/>
        <w:ind w:left="475" w:right="599"/>
        <w:jc w:val="both"/>
      </w:pPr>
      <w:r>
        <w:rPr>
          <w:color w:val="231F20"/>
        </w:rPr>
        <w:t>While the first two paragraphs are coextensive with the collective bargaining exception of the Open Meetings Act, the third paragraph describes an additional situation where closure</w:t>
      </w:r>
      <w:r>
        <w:rPr>
          <w:color w:val="231F20"/>
          <w:spacing w:val="40"/>
        </w:rPr>
        <w:t> </w:t>
      </w:r>
      <w:r>
        <w:rPr>
          <w:color w:val="231F20"/>
        </w:rPr>
        <w:t>is justified.</w:t>
      </w:r>
    </w:p>
    <w:p>
      <w:pPr>
        <w:pStyle w:val="BodyText"/>
      </w:pPr>
    </w:p>
    <w:p>
      <w:pPr>
        <w:pStyle w:val="ListParagraph"/>
        <w:numPr>
          <w:ilvl w:val="0"/>
          <w:numId w:val="11"/>
        </w:numPr>
        <w:tabs>
          <w:tab w:pos="716" w:val="left" w:leader="none"/>
        </w:tabs>
        <w:spacing w:line="240" w:lineRule="auto" w:before="0" w:after="0"/>
        <w:ind w:left="715" w:right="0" w:hanging="241"/>
        <w:jc w:val="left"/>
        <w:rPr>
          <w:sz w:val="24"/>
        </w:rPr>
      </w:pPr>
      <w:bookmarkStart w:name="6. Certain Purchases" w:id="147"/>
      <w:bookmarkEnd w:id="147"/>
      <w:r>
        <w:rPr>
          <w:color w:val="231F20"/>
          <w:sz w:val="24"/>
          <w:u w:val="single" w:color="231F20"/>
        </w:rPr>
        <w:t>C</w:t>
      </w:r>
      <w:r>
        <w:rPr>
          <w:color w:val="231F20"/>
          <w:sz w:val="24"/>
          <w:u w:val="single" w:color="231F20"/>
        </w:rPr>
        <w:t>ertain</w:t>
      </w:r>
      <w:r>
        <w:rPr>
          <w:color w:val="231F20"/>
          <w:spacing w:val="-3"/>
          <w:sz w:val="24"/>
          <w:u w:val="single" w:color="231F20"/>
        </w:rPr>
        <w:t> </w:t>
      </w:r>
      <w:r>
        <w:rPr>
          <w:color w:val="231F20"/>
          <w:spacing w:val="-2"/>
          <w:sz w:val="24"/>
          <w:u w:val="single" w:color="231F20"/>
        </w:rPr>
        <w:t>Purchases</w:t>
      </w:r>
    </w:p>
    <w:p>
      <w:pPr>
        <w:pStyle w:val="BodyText"/>
        <w:spacing w:before="5"/>
      </w:pPr>
    </w:p>
    <w:p>
      <w:pPr>
        <w:spacing w:before="0"/>
        <w:ind w:left="475" w:right="0" w:firstLine="0"/>
        <w:jc w:val="both"/>
        <w:rPr>
          <w:b/>
          <w:sz w:val="24"/>
        </w:rPr>
      </w:pPr>
      <w:bookmarkStart w:name="The Law" w:id="148"/>
      <w:bookmarkEnd w:id="14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spacing w:after="0"/>
        <w:jc w:val="both"/>
        <w:rPr>
          <w:sz w:val="24"/>
        </w:rPr>
        <w:sectPr>
          <w:type w:val="continuous"/>
          <w:pgSz w:w="12240" w:h="15840"/>
          <w:pgMar w:header="660" w:footer="484" w:top="480" w:bottom="280" w:left="360" w:right="240"/>
          <w:cols w:num="2" w:equalWidth="0">
            <w:col w:w="5196" w:space="686"/>
            <w:col w:w="5758"/>
          </w:cols>
        </w:sectPr>
      </w:pPr>
    </w:p>
    <w:p>
      <w:pPr>
        <w:pStyle w:val="BodyText"/>
        <w:spacing w:before="9"/>
        <w:rPr>
          <w:b/>
          <w:sz w:val="15"/>
        </w:rPr>
      </w:pPr>
    </w:p>
    <w:p>
      <w:pPr>
        <w:spacing w:after="0"/>
        <w:rPr>
          <w:sz w:val="15"/>
        </w:rPr>
        <w:sectPr>
          <w:type w:val="continuous"/>
          <w:pgSz w:w="12240" w:h="15840"/>
          <w:pgMar w:header="660" w:footer="484" w:top="480" w:bottom="280" w:left="360" w:right="240"/>
        </w:sectPr>
      </w:pPr>
    </w:p>
    <w:p>
      <w:pPr>
        <w:spacing w:before="90"/>
        <w:ind w:left="475" w:right="39" w:firstLine="0"/>
        <w:jc w:val="both"/>
        <w:rPr>
          <w:i/>
          <w:sz w:val="24"/>
        </w:rPr>
      </w:pPr>
      <w:r>
        <w:rPr>
          <w:i/>
          <w:color w:val="231F20"/>
          <w:sz w:val="24"/>
        </w:rPr>
        <w:t>A school board is debating whether to establish</w:t>
      </w:r>
      <w:r>
        <w:rPr>
          <w:i/>
          <w:color w:val="231F20"/>
          <w:sz w:val="24"/>
        </w:rPr>
        <w:t> a local labor</w:t>
      </w:r>
      <w:r>
        <w:rPr>
          <w:i/>
          <w:color w:val="231F20"/>
          <w:spacing w:val="-2"/>
          <w:sz w:val="24"/>
        </w:rPr>
        <w:t> </w:t>
      </w:r>
      <w:r>
        <w:rPr>
          <w:i/>
          <w:color w:val="231F20"/>
          <w:sz w:val="24"/>
        </w:rPr>
        <w:t>relations</w:t>
      </w:r>
      <w:r>
        <w:rPr>
          <w:i/>
          <w:color w:val="231F20"/>
          <w:spacing w:val="-2"/>
          <w:sz w:val="24"/>
        </w:rPr>
        <w:t> </w:t>
      </w:r>
      <w:r>
        <w:rPr>
          <w:i/>
          <w:color w:val="231F20"/>
          <w:sz w:val="24"/>
        </w:rPr>
        <w:t>board and has before</w:t>
      </w:r>
      <w:r>
        <w:rPr>
          <w:i/>
          <w:color w:val="231F20"/>
          <w:spacing w:val="-3"/>
          <w:sz w:val="24"/>
        </w:rPr>
        <w:t> </w:t>
      </w:r>
      <w:r>
        <w:rPr>
          <w:i/>
          <w:color w:val="231F20"/>
          <w:sz w:val="24"/>
        </w:rPr>
        <w:t>it a draft labor/management relations resolution</w:t>
      </w:r>
      <w:r>
        <w:rPr>
          <w:i/>
          <w:color w:val="231F20"/>
          <w:spacing w:val="40"/>
          <w:sz w:val="24"/>
        </w:rPr>
        <w:t> </w:t>
      </w:r>
      <w:r>
        <w:rPr>
          <w:i/>
          <w:color w:val="231F20"/>
          <w:sz w:val="24"/>
        </w:rPr>
        <w:t>that would create, and establish procedures </w:t>
      </w:r>
      <w:r>
        <w:rPr>
          <w:i/>
          <w:color w:val="231F20"/>
          <w:sz w:val="24"/>
        </w:rPr>
        <w:t>for, the local board. At this time, no bargaining unit or representative has proposed negotiations,</w:t>
      </w:r>
      <w:r>
        <w:rPr>
          <w:i/>
          <w:color w:val="231F20"/>
          <w:spacing w:val="40"/>
          <w:sz w:val="24"/>
        </w:rPr>
        <w:t> </w:t>
      </w:r>
      <w:r>
        <w:rPr>
          <w:i/>
          <w:color w:val="231F20"/>
          <w:sz w:val="24"/>
        </w:rPr>
        <w:t>and the board would be discussing only general collective bargaining policy to be applied in the event such bargaining occurs. Therefore, under the collective bargaining exception to the Act, the discussion must occur in an open meeting and the school board may not go into executive session to discuss the resolution.</w:t>
      </w:r>
    </w:p>
    <w:p>
      <w:pPr>
        <w:pStyle w:val="BodyText"/>
        <w:rPr>
          <w:i/>
        </w:rPr>
      </w:pPr>
    </w:p>
    <w:p>
      <w:pPr>
        <w:pStyle w:val="BodyText"/>
        <w:ind w:left="475"/>
      </w:pPr>
      <w:bookmarkStart w:name="Commentary" w:id="149"/>
      <w:bookmarkEnd w:id="149"/>
      <w:r>
        <w:rPr/>
      </w:r>
      <w:r>
        <w:rPr>
          <w:color w:val="231F20"/>
          <w:spacing w:val="-2"/>
          <w:u w:val="single" w:color="231F20"/>
        </w:rPr>
        <w:t>Commentary</w:t>
      </w:r>
    </w:p>
    <w:p>
      <w:pPr>
        <w:pStyle w:val="BodyText"/>
      </w:pPr>
    </w:p>
    <w:p>
      <w:pPr>
        <w:pStyle w:val="BodyText"/>
        <w:ind w:left="475" w:right="38"/>
        <w:jc w:val="both"/>
      </w:pPr>
      <w:r>
        <w:rPr>
          <w:color w:val="231F20"/>
        </w:rPr>
        <w:t>Collective bargaining by public employees generally is governed by the Public Employees Bargaining Act, NMSA 1978, ch. 10, art. 7E. Section 10-7E-17(G)</w:t>
      </w:r>
      <w:r>
        <w:rPr>
          <w:color w:val="231F20"/>
        </w:rPr>
        <w:t> of</w:t>
      </w:r>
      <w:r>
        <w:rPr>
          <w:color w:val="231F20"/>
        </w:rPr>
        <w:t> that</w:t>
      </w:r>
      <w:r>
        <w:rPr>
          <w:color w:val="231F20"/>
        </w:rPr>
        <w:t> Act contains a provision allowing closed meetings in circumstances similar to those set forth in the Open Meetings Act. It provides for closure</w:t>
      </w:r>
      <w:r>
        <w:rPr>
          <w:color w:val="231F20"/>
        </w:rPr>
        <w:t> of the following meetings:</w:t>
      </w:r>
    </w:p>
    <w:p>
      <w:pPr>
        <w:pStyle w:val="BodyText"/>
        <w:spacing w:before="9"/>
        <w:rPr>
          <w:sz w:val="23"/>
        </w:rPr>
      </w:pPr>
    </w:p>
    <w:p>
      <w:pPr>
        <w:pStyle w:val="ListParagraph"/>
        <w:numPr>
          <w:ilvl w:val="1"/>
          <w:numId w:val="11"/>
        </w:numPr>
        <w:tabs>
          <w:tab w:pos="1196" w:val="left" w:leader="none"/>
        </w:tabs>
        <w:spacing w:line="240" w:lineRule="auto" w:before="1" w:after="0"/>
        <w:ind w:left="1195" w:right="38" w:hanging="360"/>
        <w:jc w:val="both"/>
        <w:rPr>
          <w:sz w:val="24"/>
        </w:rPr>
      </w:pPr>
      <w:r>
        <w:rPr>
          <w:color w:val="231F20"/>
          <w:sz w:val="24"/>
        </w:rPr>
        <w:t>meetings for the discussion of</w:t>
      </w:r>
      <w:r>
        <w:rPr>
          <w:color w:val="231F20"/>
          <w:spacing w:val="80"/>
          <w:sz w:val="24"/>
        </w:rPr>
        <w:t> </w:t>
      </w:r>
      <w:r>
        <w:rPr>
          <w:color w:val="231F20"/>
          <w:sz w:val="24"/>
        </w:rPr>
        <w:t>bargaining strategy</w:t>
      </w:r>
      <w:r>
        <w:rPr>
          <w:color w:val="231F20"/>
          <w:sz w:val="24"/>
        </w:rPr>
        <w:t> preliminary</w:t>
      </w:r>
      <w:r>
        <w:rPr>
          <w:color w:val="231F20"/>
          <w:sz w:val="24"/>
        </w:rPr>
        <w:t> to collective</w:t>
      </w:r>
      <w:r>
        <w:rPr>
          <w:color w:val="231F20"/>
          <w:sz w:val="24"/>
        </w:rPr>
        <w:t> bargaining</w:t>
      </w:r>
      <w:r>
        <w:rPr>
          <w:color w:val="231F20"/>
          <w:sz w:val="24"/>
        </w:rPr>
        <w:t> negotiations between a public employer and the exclusive representative of the public employees of the public employer;</w:t>
      </w:r>
    </w:p>
    <w:p>
      <w:pPr>
        <w:pStyle w:val="BodyText"/>
      </w:pPr>
    </w:p>
    <w:p>
      <w:pPr>
        <w:pStyle w:val="ListParagraph"/>
        <w:numPr>
          <w:ilvl w:val="1"/>
          <w:numId w:val="11"/>
        </w:numPr>
        <w:tabs>
          <w:tab w:pos="1196" w:val="left" w:leader="none"/>
          <w:tab w:pos="2392" w:val="left" w:leader="none"/>
          <w:tab w:pos="3688" w:val="left" w:leader="none"/>
          <w:tab w:pos="4809" w:val="left" w:leader="none"/>
        </w:tabs>
        <w:spacing w:line="240" w:lineRule="auto" w:before="0" w:after="0"/>
        <w:ind w:left="1195" w:right="0" w:hanging="361"/>
        <w:jc w:val="left"/>
        <w:rPr>
          <w:sz w:val="24"/>
        </w:rPr>
      </w:pPr>
      <w:r>
        <w:rPr>
          <w:color w:val="231F20"/>
          <w:spacing w:val="-2"/>
          <w:sz w:val="24"/>
        </w:rPr>
        <w:t>collective</w:t>
      </w:r>
      <w:r>
        <w:rPr>
          <w:color w:val="231F20"/>
          <w:sz w:val="24"/>
        </w:rPr>
        <w:tab/>
      </w:r>
      <w:r>
        <w:rPr>
          <w:color w:val="231F20"/>
          <w:spacing w:val="-2"/>
          <w:sz w:val="24"/>
        </w:rPr>
        <w:t>bargaining</w:t>
      </w:r>
      <w:r>
        <w:rPr>
          <w:color w:val="231F20"/>
          <w:sz w:val="24"/>
        </w:rPr>
        <w:tab/>
      </w:r>
      <w:r>
        <w:rPr>
          <w:color w:val="231F20"/>
          <w:spacing w:val="-2"/>
          <w:sz w:val="24"/>
        </w:rPr>
        <w:t>sessions;</w:t>
      </w:r>
      <w:r>
        <w:rPr>
          <w:color w:val="231F20"/>
          <w:sz w:val="24"/>
        </w:rPr>
        <w:tab/>
      </w:r>
      <w:r>
        <w:rPr>
          <w:color w:val="231F20"/>
          <w:spacing w:val="-5"/>
          <w:sz w:val="24"/>
        </w:rPr>
        <w:t>and</w:t>
      </w:r>
    </w:p>
    <w:p>
      <w:pPr>
        <w:spacing w:before="95"/>
        <w:ind w:left="475" w:right="598" w:firstLine="0"/>
        <w:jc w:val="both"/>
        <w:rPr>
          <w:b/>
          <w:sz w:val="24"/>
        </w:rPr>
      </w:pPr>
      <w:r>
        <w:rPr/>
        <w:br w:type="column"/>
      </w:r>
      <w:r>
        <w:rPr>
          <w:b/>
          <w:color w:val="231F20"/>
          <w:sz w:val="24"/>
        </w:rPr>
        <w:t>That portion of meetings at which a decision concerning purchases in an amount</w:t>
      </w:r>
      <w:r>
        <w:rPr>
          <w:b/>
          <w:color w:val="231F20"/>
          <w:spacing w:val="40"/>
          <w:sz w:val="24"/>
        </w:rPr>
        <w:t> </w:t>
      </w:r>
      <w:r>
        <w:rPr>
          <w:b/>
          <w:color w:val="231F20"/>
          <w:sz w:val="24"/>
        </w:rPr>
        <w:t>exceeding two thousand five hundred dollars ($2,500)</w:t>
      </w:r>
      <w:r>
        <w:rPr>
          <w:b/>
          <w:color w:val="231F20"/>
          <w:sz w:val="24"/>
        </w:rPr>
        <w:t> that</w:t>
      </w:r>
      <w:r>
        <w:rPr>
          <w:b/>
          <w:color w:val="231F20"/>
          <w:sz w:val="24"/>
        </w:rPr>
        <w:t> can be made only from one source and that portion of meetings at which the contents of competitive</w:t>
      </w:r>
      <w:r>
        <w:rPr>
          <w:b/>
          <w:color w:val="231F20"/>
          <w:sz w:val="24"/>
        </w:rPr>
        <w:t> sealed proposals solicited pursuant to the Procurement Code are discussed during the contract negotiation process. The actual approval of purchase of the item or final action regarding the selection of a contractor shall be made in an open meeting.</w:t>
      </w:r>
    </w:p>
    <w:p>
      <w:pPr>
        <w:pStyle w:val="BodyText"/>
        <w:spacing w:before="7"/>
        <w:rPr>
          <w:b/>
          <w:sz w:val="23"/>
        </w:rPr>
      </w:pPr>
    </w:p>
    <w:p>
      <w:pPr>
        <w:pStyle w:val="BodyText"/>
        <w:ind w:left="475"/>
      </w:pPr>
      <w:bookmarkStart w:name="Commentary" w:id="150"/>
      <w:bookmarkEnd w:id="150"/>
      <w:r>
        <w:rPr/>
      </w:r>
      <w:r>
        <w:rPr>
          <w:color w:val="231F20"/>
          <w:spacing w:val="-2"/>
          <w:u w:val="single" w:color="231F20"/>
        </w:rPr>
        <w:t>Commentary</w:t>
      </w:r>
    </w:p>
    <w:p>
      <w:pPr>
        <w:pStyle w:val="BodyText"/>
      </w:pPr>
    </w:p>
    <w:p>
      <w:pPr>
        <w:pStyle w:val="BodyText"/>
        <w:ind w:left="475" w:right="600"/>
        <w:jc w:val="both"/>
      </w:pPr>
      <w:r>
        <w:rPr>
          <w:color w:val="231F20"/>
        </w:rPr>
        <w:t>This paragraph authorizes a public body to discuss</w:t>
      </w:r>
      <w:r>
        <w:rPr>
          <w:color w:val="231F20"/>
          <w:spacing w:val="-6"/>
        </w:rPr>
        <w:t> </w:t>
      </w:r>
      <w:r>
        <w:rPr>
          <w:color w:val="231F20"/>
        </w:rPr>
        <w:t>two</w:t>
      </w:r>
      <w:r>
        <w:rPr>
          <w:color w:val="231F20"/>
          <w:spacing w:val="-6"/>
        </w:rPr>
        <w:t> </w:t>
      </w:r>
      <w:r>
        <w:rPr>
          <w:color w:val="231F20"/>
        </w:rPr>
        <w:t>types</w:t>
      </w:r>
      <w:r>
        <w:rPr>
          <w:color w:val="231F20"/>
          <w:spacing w:val="-6"/>
        </w:rPr>
        <w:t> </w:t>
      </w:r>
      <w:r>
        <w:rPr>
          <w:color w:val="231F20"/>
        </w:rPr>
        <w:t>of</w:t>
      </w:r>
      <w:r>
        <w:rPr>
          <w:color w:val="231F20"/>
          <w:spacing w:val="-5"/>
        </w:rPr>
        <w:t> </w:t>
      </w:r>
      <w:r>
        <w:rPr>
          <w:color w:val="231F20"/>
        </w:rPr>
        <w:t>purchases</w:t>
      </w:r>
      <w:r>
        <w:rPr>
          <w:color w:val="231F20"/>
          <w:spacing w:val="-6"/>
        </w:rPr>
        <w:t> </w:t>
      </w:r>
      <w:r>
        <w:rPr>
          <w:color w:val="231F20"/>
        </w:rPr>
        <w:t>in</w:t>
      </w:r>
      <w:r>
        <w:rPr>
          <w:color w:val="231F20"/>
          <w:spacing w:val="-6"/>
        </w:rPr>
        <w:t> </w:t>
      </w:r>
      <w:r>
        <w:rPr>
          <w:color w:val="231F20"/>
        </w:rPr>
        <w:t>closed</w:t>
      </w:r>
      <w:r>
        <w:rPr>
          <w:color w:val="231F20"/>
          <w:spacing w:val="-6"/>
        </w:rPr>
        <w:t> </w:t>
      </w:r>
      <w:r>
        <w:rPr>
          <w:color w:val="231F20"/>
        </w:rPr>
        <w:t>session. First, the exception permits a closed meeting to </w:t>
      </w:r>
      <w:r>
        <w:rPr>
          <w:color w:val="231F20"/>
          <w:spacing w:val="-2"/>
        </w:rPr>
        <w:t>discuss:</w:t>
      </w:r>
    </w:p>
    <w:p>
      <w:pPr>
        <w:pStyle w:val="BodyText"/>
        <w:spacing w:before="9"/>
        <w:rPr>
          <w:sz w:val="23"/>
        </w:rPr>
      </w:pPr>
    </w:p>
    <w:p>
      <w:pPr>
        <w:pStyle w:val="ListParagraph"/>
        <w:numPr>
          <w:ilvl w:val="2"/>
          <w:numId w:val="11"/>
        </w:numPr>
        <w:tabs>
          <w:tab w:pos="1160" w:val="left" w:leader="none"/>
        </w:tabs>
        <w:spacing w:line="240" w:lineRule="auto" w:before="0" w:after="0"/>
        <w:ind w:left="1159" w:right="0" w:hanging="325"/>
        <w:jc w:val="left"/>
        <w:rPr>
          <w:sz w:val="24"/>
        </w:rPr>
      </w:pPr>
      <w:r>
        <w:rPr>
          <w:color w:val="231F20"/>
          <w:sz w:val="24"/>
        </w:rPr>
        <w:t>a</w:t>
      </w:r>
      <w:r>
        <w:rPr>
          <w:color w:val="231F20"/>
          <w:spacing w:val="-3"/>
          <w:sz w:val="24"/>
        </w:rPr>
        <w:t> </w:t>
      </w:r>
      <w:r>
        <w:rPr>
          <w:color w:val="231F20"/>
          <w:spacing w:val="-2"/>
          <w:sz w:val="24"/>
        </w:rPr>
        <w:t>purchase;</w:t>
      </w:r>
    </w:p>
    <w:p>
      <w:pPr>
        <w:pStyle w:val="BodyText"/>
      </w:pPr>
    </w:p>
    <w:p>
      <w:pPr>
        <w:pStyle w:val="ListParagraph"/>
        <w:numPr>
          <w:ilvl w:val="2"/>
          <w:numId w:val="11"/>
        </w:numPr>
        <w:tabs>
          <w:tab w:pos="1174" w:val="left" w:leader="none"/>
        </w:tabs>
        <w:spacing w:line="240" w:lineRule="auto" w:before="0" w:after="0"/>
        <w:ind w:left="1173" w:right="0" w:hanging="339"/>
        <w:jc w:val="left"/>
        <w:rPr>
          <w:sz w:val="24"/>
        </w:rPr>
      </w:pPr>
      <w:r>
        <w:rPr>
          <w:color w:val="231F20"/>
          <w:sz w:val="24"/>
        </w:rPr>
        <w:t>that</w:t>
      </w:r>
      <w:r>
        <w:rPr>
          <w:color w:val="231F20"/>
          <w:spacing w:val="-4"/>
          <w:sz w:val="24"/>
        </w:rPr>
        <w:t> </w:t>
      </w:r>
      <w:r>
        <w:rPr>
          <w:color w:val="231F20"/>
          <w:sz w:val="24"/>
        </w:rPr>
        <w:t>exceeds</w:t>
      </w:r>
      <w:r>
        <w:rPr>
          <w:color w:val="231F20"/>
          <w:spacing w:val="-2"/>
          <w:sz w:val="24"/>
        </w:rPr>
        <w:t> </w:t>
      </w:r>
      <w:r>
        <w:rPr>
          <w:color w:val="231F20"/>
          <w:sz w:val="24"/>
        </w:rPr>
        <w:t>$2,500</w:t>
      </w:r>
      <w:r>
        <w:rPr>
          <w:color w:val="231F20"/>
          <w:spacing w:val="-3"/>
          <w:sz w:val="24"/>
        </w:rPr>
        <w:t> </w:t>
      </w:r>
      <w:r>
        <w:rPr>
          <w:color w:val="231F20"/>
          <w:sz w:val="24"/>
        </w:rPr>
        <w:t>in</w:t>
      </w:r>
      <w:r>
        <w:rPr>
          <w:color w:val="231F20"/>
          <w:spacing w:val="-3"/>
          <w:sz w:val="24"/>
        </w:rPr>
        <w:t> </w:t>
      </w:r>
      <w:r>
        <w:rPr>
          <w:color w:val="231F20"/>
          <w:sz w:val="24"/>
        </w:rPr>
        <w:t>amount;</w:t>
      </w:r>
      <w:r>
        <w:rPr>
          <w:color w:val="231F20"/>
          <w:spacing w:val="-2"/>
          <w:sz w:val="24"/>
        </w:rPr>
        <w:t> </w:t>
      </w:r>
      <w:r>
        <w:rPr>
          <w:color w:val="231F20"/>
          <w:spacing w:val="-5"/>
          <w:sz w:val="24"/>
        </w:rPr>
        <w:t>and</w:t>
      </w:r>
    </w:p>
    <w:p>
      <w:pPr>
        <w:pStyle w:val="BodyText"/>
      </w:pPr>
    </w:p>
    <w:p>
      <w:pPr>
        <w:pStyle w:val="ListParagraph"/>
        <w:numPr>
          <w:ilvl w:val="2"/>
          <w:numId w:val="11"/>
        </w:numPr>
        <w:tabs>
          <w:tab w:pos="1160" w:val="left" w:leader="none"/>
        </w:tabs>
        <w:spacing w:line="240" w:lineRule="auto" w:before="0" w:after="0"/>
        <w:ind w:left="1159" w:right="0" w:hanging="325"/>
        <w:jc w:val="left"/>
        <w:rPr>
          <w:sz w:val="24"/>
        </w:rPr>
      </w:pPr>
      <w:r>
        <w:rPr>
          <w:color w:val="231F20"/>
          <w:sz w:val="24"/>
        </w:rPr>
        <w:t>that</w:t>
      </w:r>
      <w:r>
        <w:rPr>
          <w:color w:val="231F20"/>
          <w:spacing w:val="-5"/>
          <w:sz w:val="24"/>
        </w:rPr>
        <w:t> </w:t>
      </w:r>
      <w:r>
        <w:rPr>
          <w:color w:val="231F20"/>
          <w:sz w:val="24"/>
        </w:rPr>
        <w:t>can</w:t>
      </w:r>
      <w:r>
        <w:rPr>
          <w:color w:val="231F20"/>
          <w:spacing w:val="-4"/>
          <w:sz w:val="24"/>
        </w:rPr>
        <w:t> </w:t>
      </w:r>
      <w:r>
        <w:rPr>
          <w:color w:val="231F20"/>
          <w:sz w:val="24"/>
        </w:rPr>
        <w:t>only</w:t>
      </w:r>
      <w:r>
        <w:rPr>
          <w:color w:val="231F20"/>
          <w:spacing w:val="-8"/>
          <w:sz w:val="24"/>
        </w:rPr>
        <w:t> </w:t>
      </w:r>
      <w:r>
        <w:rPr>
          <w:color w:val="231F20"/>
          <w:sz w:val="24"/>
        </w:rPr>
        <w:t>be</w:t>
      </w:r>
      <w:r>
        <w:rPr>
          <w:color w:val="231F20"/>
          <w:spacing w:val="-5"/>
          <w:sz w:val="24"/>
        </w:rPr>
        <w:t> </w:t>
      </w:r>
      <w:r>
        <w:rPr>
          <w:color w:val="231F20"/>
          <w:sz w:val="24"/>
        </w:rPr>
        <w:t>made</w:t>
      </w:r>
      <w:r>
        <w:rPr>
          <w:color w:val="231F20"/>
          <w:spacing w:val="-3"/>
          <w:sz w:val="24"/>
        </w:rPr>
        <w:t> </w:t>
      </w:r>
      <w:r>
        <w:rPr>
          <w:color w:val="231F20"/>
          <w:sz w:val="24"/>
        </w:rPr>
        <w:t>from</w:t>
      </w:r>
      <w:r>
        <w:rPr>
          <w:color w:val="231F20"/>
          <w:spacing w:val="-4"/>
          <w:sz w:val="24"/>
        </w:rPr>
        <w:t> </w:t>
      </w:r>
      <w:r>
        <w:rPr>
          <w:color w:val="231F20"/>
          <w:sz w:val="24"/>
        </w:rPr>
        <w:t>one</w:t>
      </w:r>
      <w:r>
        <w:rPr>
          <w:color w:val="231F20"/>
          <w:spacing w:val="-5"/>
          <w:sz w:val="24"/>
        </w:rPr>
        <w:t> </w:t>
      </w:r>
      <w:r>
        <w:rPr>
          <w:color w:val="231F20"/>
          <w:spacing w:val="-2"/>
          <w:sz w:val="24"/>
        </w:rPr>
        <w:t>source.</w:t>
      </w:r>
    </w:p>
    <w:p>
      <w:pPr>
        <w:pStyle w:val="BodyText"/>
      </w:pPr>
    </w:p>
    <w:p>
      <w:pPr>
        <w:pStyle w:val="BodyText"/>
        <w:ind w:left="475" w:right="43"/>
      </w:pPr>
      <w:r>
        <w:rPr>
          <w:color w:val="231F20"/>
        </w:rPr>
        <w:t>The</w:t>
      </w:r>
      <w:r>
        <w:rPr>
          <w:color w:val="231F20"/>
          <w:spacing w:val="80"/>
        </w:rPr>
        <w:t> </w:t>
      </w:r>
      <w:r>
        <w:rPr>
          <w:color w:val="231F20"/>
        </w:rPr>
        <w:t>final</w:t>
      </w:r>
      <w:r>
        <w:rPr>
          <w:color w:val="231F20"/>
          <w:spacing w:val="80"/>
        </w:rPr>
        <w:t> </w:t>
      </w:r>
      <w:r>
        <w:rPr>
          <w:color w:val="231F20"/>
        </w:rPr>
        <w:t>action</w:t>
      </w:r>
      <w:r>
        <w:rPr>
          <w:color w:val="231F20"/>
          <w:spacing w:val="80"/>
        </w:rPr>
        <w:t> </w:t>
      </w:r>
      <w:r>
        <w:rPr>
          <w:color w:val="231F20"/>
        </w:rPr>
        <w:t>taken</w:t>
      </w:r>
      <w:r>
        <w:rPr>
          <w:color w:val="231F20"/>
          <w:spacing w:val="80"/>
        </w:rPr>
        <w:t> </w:t>
      </w:r>
      <w:r>
        <w:rPr>
          <w:color w:val="231F20"/>
        </w:rPr>
        <w:t>to</w:t>
      </w:r>
      <w:r>
        <w:rPr>
          <w:color w:val="231F20"/>
          <w:spacing w:val="80"/>
        </w:rPr>
        <w:t> </w:t>
      </w:r>
      <w:r>
        <w:rPr>
          <w:color w:val="231F20"/>
        </w:rPr>
        <w:t>approve</w:t>
      </w:r>
      <w:r>
        <w:rPr>
          <w:color w:val="231F20"/>
          <w:spacing w:val="80"/>
        </w:rPr>
        <w:t> </w:t>
      </w:r>
      <w:r>
        <w:rPr>
          <w:color w:val="231F20"/>
        </w:rPr>
        <w:t>such</w:t>
      </w:r>
      <w:r>
        <w:rPr>
          <w:color w:val="231F20"/>
          <w:spacing w:val="80"/>
        </w:rPr>
        <w:t> </w:t>
      </w:r>
      <w:r>
        <w:rPr>
          <w:color w:val="231F20"/>
        </w:rPr>
        <w:t>a</w:t>
      </w:r>
      <w:r>
        <w:rPr>
          <w:color w:val="231F20"/>
          <w:spacing w:val="40"/>
        </w:rPr>
        <w:t> </w:t>
      </w:r>
      <w:r>
        <w:rPr>
          <w:color w:val="231F20"/>
        </w:rPr>
        <w:t>purchase must be taken at an open meeting.</w:t>
      </w:r>
    </w:p>
    <w:p>
      <w:pPr>
        <w:pStyle w:val="BodyText"/>
      </w:pPr>
    </w:p>
    <w:p>
      <w:pPr>
        <w:spacing w:before="0"/>
        <w:ind w:left="475" w:right="0" w:firstLine="0"/>
        <w:jc w:val="left"/>
        <w:rPr>
          <w:i/>
          <w:sz w:val="24"/>
        </w:rPr>
      </w:pPr>
      <w:bookmarkStart w:name="Example 53:" w:id="151"/>
      <w:bookmarkEnd w:id="15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53:</w:t>
      </w:r>
    </w:p>
    <w:p>
      <w:pPr>
        <w:pStyle w:val="BodyText"/>
        <w:rPr>
          <w:i/>
        </w:rPr>
      </w:pPr>
    </w:p>
    <w:p>
      <w:pPr>
        <w:spacing w:before="0"/>
        <w:ind w:left="475" w:right="599" w:firstLine="0"/>
        <w:jc w:val="both"/>
        <w:rPr>
          <w:i/>
          <w:sz w:val="24"/>
        </w:rPr>
      </w:pPr>
      <w:r>
        <w:rPr>
          <w:i/>
          <w:color w:val="231F20"/>
          <w:sz w:val="24"/>
        </w:rPr>
        <w:t>The</w:t>
      </w:r>
      <w:r>
        <w:rPr>
          <w:i/>
          <w:color w:val="231F20"/>
          <w:spacing w:val="-2"/>
          <w:sz w:val="24"/>
        </w:rPr>
        <w:t> </w:t>
      </w:r>
      <w:r>
        <w:rPr>
          <w:i/>
          <w:color w:val="231F20"/>
          <w:sz w:val="24"/>
        </w:rPr>
        <w:t>governing</w:t>
      </w:r>
      <w:r>
        <w:rPr>
          <w:i/>
          <w:color w:val="231F20"/>
          <w:spacing w:val="-1"/>
          <w:sz w:val="24"/>
        </w:rPr>
        <w:t> </w:t>
      </w:r>
      <w:r>
        <w:rPr>
          <w:i/>
          <w:color w:val="231F20"/>
          <w:sz w:val="24"/>
        </w:rPr>
        <w:t>board</w:t>
      </w:r>
      <w:r>
        <w:rPr>
          <w:i/>
          <w:color w:val="231F20"/>
          <w:spacing w:val="-1"/>
          <w:sz w:val="24"/>
        </w:rPr>
        <w:t> </w:t>
      </w:r>
      <w:r>
        <w:rPr>
          <w:i/>
          <w:color w:val="231F20"/>
          <w:sz w:val="24"/>
        </w:rPr>
        <w:t>of a</w:t>
      </w:r>
      <w:r>
        <w:rPr>
          <w:i/>
          <w:color w:val="231F20"/>
          <w:spacing w:val="-1"/>
          <w:sz w:val="24"/>
        </w:rPr>
        <w:t> </w:t>
      </w:r>
      <w:r>
        <w:rPr>
          <w:i/>
          <w:color w:val="231F20"/>
          <w:sz w:val="24"/>
        </w:rPr>
        <w:t>municipality</w:t>
      </w:r>
      <w:r>
        <w:rPr>
          <w:i/>
          <w:color w:val="231F20"/>
          <w:spacing w:val="-2"/>
          <w:sz w:val="24"/>
        </w:rPr>
        <w:t> </w:t>
      </w:r>
      <w:r>
        <w:rPr>
          <w:i/>
          <w:color w:val="231F20"/>
          <w:sz w:val="24"/>
        </w:rPr>
        <w:t>is unable</w:t>
      </w:r>
      <w:r>
        <w:rPr>
          <w:i/>
          <w:color w:val="231F20"/>
          <w:sz w:val="24"/>
        </w:rPr>
        <w:t> to purchase a particular kind of computer equipment</w:t>
      </w:r>
      <w:r>
        <w:rPr>
          <w:i/>
          <w:color w:val="231F20"/>
          <w:spacing w:val="31"/>
          <w:sz w:val="24"/>
        </w:rPr>
        <w:t> </w:t>
      </w:r>
      <w:r>
        <w:rPr>
          <w:i/>
          <w:color w:val="231F20"/>
          <w:sz w:val="24"/>
        </w:rPr>
        <w:t>compatible</w:t>
      </w:r>
      <w:r>
        <w:rPr>
          <w:i/>
          <w:color w:val="231F20"/>
          <w:spacing w:val="30"/>
          <w:sz w:val="24"/>
        </w:rPr>
        <w:t> </w:t>
      </w:r>
      <w:r>
        <w:rPr>
          <w:i/>
          <w:color w:val="231F20"/>
          <w:sz w:val="24"/>
        </w:rPr>
        <w:t>with</w:t>
      </w:r>
      <w:r>
        <w:rPr>
          <w:i/>
          <w:color w:val="231F20"/>
          <w:spacing w:val="31"/>
          <w:sz w:val="24"/>
        </w:rPr>
        <w:t> </w:t>
      </w:r>
      <w:r>
        <w:rPr>
          <w:i/>
          <w:color w:val="231F20"/>
          <w:sz w:val="24"/>
        </w:rPr>
        <w:t>its</w:t>
      </w:r>
      <w:r>
        <w:rPr>
          <w:i/>
          <w:color w:val="231F20"/>
          <w:spacing w:val="31"/>
          <w:sz w:val="24"/>
        </w:rPr>
        <w:t> </w:t>
      </w:r>
      <w:r>
        <w:rPr>
          <w:i/>
          <w:color w:val="231F20"/>
          <w:sz w:val="24"/>
        </w:rPr>
        <w:t>other</w:t>
      </w:r>
      <w:r>
        <w:rPr>
          <w:i/>
          <w:color w:val="231F20"/>
          <w:spacing w:val="31"/>
          <w:sz w:val="24"/>
        </w:rPr>
        <w:t> </w:t>
      </w:r>
      <w:r>
        <w:rPr>
          <w:i/>
          <w:color w:val="231F20"/>
          <w:spacing w:val="-2"/>
          <w:sz w:val="24"/>
        </w:rPr>
        <w:t>equipment</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but has finally located a party who is willing to</w:t>
      </w:r>
      <w:r>
        <w:rPr>
          <w:i/>
          <w:color w:val="231F20"/>
          <w:sz w:val="24"/>
        </w:rPr>
        <w:t> lease the equipment to the municipality for six months. The value of the computer equipment if purchased outright is $20,000 and the total rental amount of the lease is $2,000. In determining whether discussion of this lease</w:t>
      </w:r>
      <w:r>
        <w:rPr>
          <w:i/>
          <w:color w:val="231F20"/>
          <w:spacing w:val="40"/>
          <w:sz w:val="24"/>
        </w:rPr>
        <w:t> </w:t>
      </w:r>
      <w:r>
        <w:rPr>
          <w:i/>
          <w:color w:val="231F20"/>
          <w:sz w:val="24"/>
        </w:rPr>
        <w:t>may</w:t>
      </w:r>
      <w:r>
        <w:rPr>
          <w:i/>
          <w:color w:val="231F20"/>
          <w:spacing w:val="-2"/>
          <w:sz w:val="24"/>
        </w:rPr>
        <w:t> </w:t>
      </w:r>
      <w:r>
        <w:rPr>
          <w:i/>
          <w:color w:val="231F20"/>
          <w:sz w:val="24"/>
        </w:rPr>
        <w:t>occur in</w:t>
      </w:r>
      <w:r>
        <w:rPr>
          <w:i/>
          <w:color w:val="231F20"/>
          <w:spacing w:val="-1"/>
          <w:sz w:val="24"/>
        </w:rPr>
        <w:t> </w:t>
      </w:r>
      <w:r>
        <w:rPr>
          <w:i/>
          <w:color w:val="231F20"/>
          <w:sz w:val="24"/>
        </w:rPr>
        <w:t>closed</w:t>
      </w:r>
      <w:r>
        <w:rPr>
          <w:i/>
          <w:color w:val="231F20"/>
          <w:spacing w:val="-1"/>
          <w:sz w:val="24"/>
        </w:rPr>
        <w:t> </w:t>
      </w:r>
      <w:r>
        <w:rPr>
          <w:i/>
          <w:color w:val="231F20"/>
          <w:sz w:val="24"/>
        </w:rPr>
        <w:t>session,</w:t>
      </w:r>
      <w:r>
        <w:rPr>
          <w:i/>
          <w:color w:val="231F20"/>
          <w:spacing w:val="-1"/>
          <w:sz w:val="24"/>
        </w:rPr>
        <w:t> </w:t>
      </w:r>
      <w:r>
        <w:rPr>
          <w:i/>
          <w:color w:val="231F20"/>
          <w:sz w:val="24"/>
        </w:rPr>
        <w:t>the</w:t>
      </w:r>
      <w:r>
        <w:rPr>
          <w:i/>
          <w:color w:val="231F20"/>
          <w:spacing w:val="-2"/>
          <w:sz w:val="24"/>
        </w:rPr>
        <w:t> </w:t>
      </w:r>
      <w:r>
        <w:rPr>
          <w:i/>
          <w:color w:val="231F20"/>
          <w:sz w:val="24"/>
        </w:rPr>
        <w:t>governing</w:t>
      </w:r>
      <w:r>
        <w:rPr>
          <w:i/>
          <w:color w:val="231F20"/>
          <w:spacing w:val="-1"/>
          <w:sz w:val="24"/>
        </w:rPr>
        <w:t> </w:t>
      </w:r>
      <w:r>
        <w:rPr>
          <w:i/>
          <w:color w:val="231F20"/>
          <w:sz w:val="24"/>
        </w:rPr>
        <w:t>body should consider the following:</w:t>
      </w:r>
    </w:p>
    <w:p>
      <w:pPr>
        <w:pStyle w:val="BodyText"/>
        <w:rPr>
          <w:i/>
        </w:rPr>
      </w:pPr>
    </w:p>
    <w:p>
      <w:pPr>
        <w:pStyle w:val="ListParagraph"/>
        <w:numPr>
          <w:ilvl w:val="0"/>
          <w:numId w:val="12"/>
        </w:numPr>
        <w:tabs>
          <w:tab w:pos="1176" w:val="left" w:leader="none"/>
        </w:tabs>
        <w:spacing w:line="240" w:lineRule="auto" w:before="0" w:after="0"/>
        <w:ind w:left="475" w:right="38" w:firstLine="360"/>
        <w:jc w:val="both"/>
        <w:rPr>
          <w:i/>
          <w:sz w:val="24"/>
        </w:rPr>
      </w:pPr>
      <w:r>
        <w:rPr>
          <w:i/>
          <w:color w:val="231F20"/>
          <w:sz w:val="24"/>
        </w:rPr>
        <w:t>Whether</w:t>
      </w:r>
      <w:r>
        <w:rPr>
          <w:i/>
          <w:color w:val="231F20"/>
          <w:spacing w:val="-6"/>
          <w:sz w:val="24"/>
        </w:rPr>
        <w:t> </w:t>
      </w:r>
      <w:r>
        <w:rPr>
          <w:i/>
          <w:color w:val="231F20"/>
          <w:sz w:val="24"/>
        </w:rPr>
        <w:t>the</w:t>
      </w:r>
      <w:r>
        <w:rPr>
          <w:i/>
          <w:color w:val="231F20"/>
          <w:spacing w:val="-5"/>
          <w:sz w:val="24"/>
        </w:rPr>
        <w:t> </w:t>
      </w:r>
      <w:r>
        <w:rPr>
          <w:i/>
          <w:color w:val="231F20"/>
          <w:sz w:val="24"/>
        </w:rPr>
        <w:t>term</w:t>
      </w:r>
      <w:r>
        <w:rPr>
          <w:i/>
          <w:color w:val="231F20"/>
          <w:spacing w:val="-5"/>
          <w:sz w:val="24"/>
        </w:rPr>
        <w:t> </w:t>
      </w:r>
      <w:r>
        <w:rPr>
          <w:i/>
          <w:color w:val="231F20"/>
          <w:sz w:val="24"/>
        </w:rPr>
        <w:t>“purchase”</w:t>
      </w:r>
      <w:r>
        <w:rPr>
          <w:i/>
          <w:color w:val="231F20"/>
          <w:spacing w:val="-6"/>
          <w:sz w:val="24"/>
        </w:rPr>
        <w:t> </w:t>
      </w:r>
      <w:r>
        <w:rPr>
          <w:i/>
          <w:color w:val="231F20"/>
          <w:sz w:val="24"/>
        </w:rPr>
        <w:t>used</w:t>
      </w:r>
      <w:r>
        <w:rPr>
          <w:i/>
          <w:color w:val="231F20"/>
          <w:spacing w:val="-6"/>
          <w:sz w:val="24"/>
        </w:rPr>
        <w:t> </w:t>
      </w:r>
      <w:r>
        <w:rPr>
          <w:i/>
          <w:color w:val="231F20"/>
          <w:sz w:val="24"/>
        </w:rPr>
        <w:t>in</w:t>
      </w:r>
      <w:r>
        <w:rPr>
          <w:i/>
          <w:color w:val="231F20"/>
          <w:spacing w:val="-4"/>
          <w:sz w:val="24"/>
        </w:rPr>
        <w:t> </w:t>
      </w:r>
      <w:r>
        <w:rPr>
          <w:i/>
          <w:color w:val="231F20"/>
          <w:sz w:val="24"/>
        </w:rPr>
        <w:t>the</w:t>
      </w:r>
      <w:r>
        <w:rPr>
          <w:i/>
          <w:color w:val="231F20"/>
          <w:sz w:val="24"/>
        </w:rPr>
        <w:t> exemption includes leases. Because the legislature did not use a broader term for acquiring property, it might be argued that it</w:t>
      </w:r>
      <w:r>
        <w:rPr>
          <w:i/>
          <w:color w:val="231F20"/>
          <w:spacing w:val="40"/>
          <w:sz w:val="24"/>
        </w:rPr>
        <w:t> </w:t>
      </w:r>
      <w:r>
        <w:rPr>
          <w:i/>
          <w:color w:val="231F20"/>
          <w:sz w:val="24"/>
        </w:rPr>
        <w:t>did not intend to include pure lease</w:t>
      </w:r>
      <w:r>
        <w:rPr>
          <w:i/>
          <w:color w:val="231F20"/>
          <w:spacing w:val="40"/>
          <w:sz w:val="24"/>
        </w:rPr>
        <w:t> </w:t>
      </w:r>
      <w:r>
        <w:rPr>
          <w:i/>
          <w:color w:val="231F20"/>
          <w:sz w:val="24"/>
        </w:rPr>
        <w:t>transactions.</w:t>
      </w:r>
      <w:r>
        <w:rPr>
          <w:i/>
          <w:color w:val="231F20"/>
          <w:spacing w:val="-5"/>
          <w:sz w:val="24"/>
        </w:rPr>
        <w:t> </w:t>
      </w:r>
      <w:r>
        <w:rPr>
          <w:i/>
          <w:color w:val="231F20"/>
          <w:sz w:val="24"/>
        </w:rPr>
        <w:t>By</w:t>
      </w:r>
      <w:r>
        <w:rPr>
          <w:i/>
          <w:color w:val="231F20"/>
          <w:spacing w:val="-6"/>
          <w:sz w:val="24"/>
        </w:rPr>
        <w:t> </w:t>
      </w:r>
      <w:r>
        <w:rPr>
          <w:i/>
          <w:color w:val="231F20"/>
          <w:sz w:val="24"/>
        </w:rPr>
        <w:t>contrast,</w:t>
      </w:r>
      <w:r>
        <w:rPr>
          <w:i/>
          <w:color w:val="231F20"/>
          <w:spacing w:val="-5"/>
          <w:sz w:val="24"/>
        </w:rPr>
        <w:t> </w:t>
      </w:r>
      <w:r>
        <w:rPr>
          <w:i/>
          <w:color w:val="231F20"/>
          <w:sz w:val="24"/>
        </w:rPr>
        <w:t>Section</w:t>
      </w:r>
      <w:r>
        <w:rPr>
          <w:i/>
          <w:color w:val="231F20"/>
          <w:spacing w:val="-5"/>
          <w:sz w:val="24"/>
        </w:rPr>
        <w:t> </w:t>
      </w:r>
      <w:r>
        <w:rPr>
          <w:i/>
          <w:color w:val="231F20"/>
          <w:sz w:val="24"/>
        </w:rPr>
        <w:t>10-15-1(H)(8) of</w:t>
      </w:r>
      <w:r>
        <w:rPr>
          <w:i/>
          <w:color w:val="231F20"/>
          <w:spacing w:val="-4"/>
          <w:sz w:val="24"/>
        </w:rPr>
        <w:t> </w:t>
      </w:r>
      <w:r>
        <w:rPr>
          <w:i/>
          <w:color w:val="231F20"/>
          <w:sz w:val="24"/>
        </w:rPr>
        <w:t>the</w:t>
      </w:r>
      <w:r>
        <w:rPr>
          <w:i/>
          <w:color w:val="231F20"/>
          <w:spacing w:val="-5"/>
          <w:sz w:val="24"/>
        </w:rPr>
        <w:t> </w:t>
      </w:r>
      <w:r>
        <w:rPr>
          <w:i/>
          <w:color w:val="231F20"/>
          <w:sz w:val="24"/>
        </w:rPr>
        <w:t>Act</w:t>
      </w:r>
      <w:r>
        <w:rPr>
          <w:i/>
          <w:color w:val="231F20"/>
          <w:spacing w:val="-4"/>
          <w:sz w:val="24"/>
        </w:rPr>
        <w:t> </w:t>
      </w:r>
      <w:r>
        <w:rPr>
          <w:i/>
          <w:color w:val="231F20"/>
          <w:sz w:val="24"/>
        </w:rPr>
        <w:t>refers</w:t>
      </w:r>
      <w:r>
        <w:rPr>
          <w:i/>
          <w:color w:val="231F20"/>
          <w:spacing w:val="-4"/>
          <w:sz w:val="24"/>
        </w:rPr>
        <w:t> </w:t>
      </w:r>
      <w:r>
        <w:rPr>
          <w:i/>
          <w:color w:val="231F20"/>
          <w:sz w:val="24"/>
        </w:rPr>
        <w:t>to</w:t>
      </w:r>
      <w:r>
        <w:rPr>
          <w:i/>
          <w:color w:val="231F20"/>
          <w:spacing w:val="-4"/>
          <w:sz w:val="24"/>
        </w:rPr>
        <w:t> </w:t>
      </w:r>
      <w:r>
        <w:rPr>
          <w:i/>
          <w:color w:val="231F20"/>
          <w:sz w:val="24"/>
        </w:rPr>
        <w:t>the</w:t>
      </w:r>
      <w:r>
        <w:rPr>
          <w:i/>
          <w:color w:val="231F20"/>
          <w:spacing w:val="-3"/>
          <w:sz w:val="24"/>
        </w:rPr>
        <w:t> </w:t>
      </w:r>
      <w:r>
        <w:rPr>
          <w:i/>
          <w:color w:val="231F20"/>
          <w:sz w:val="24"/>
        </w:rPr>
        <w:t>“purchase,</w:t>
      </w:r>
      <w:r>
        <w:rPr>
          <w:i/>
          <w:color w:val="231F20"/>
          <w:spacing w:val="-4"/>
          <w:sz w:val="24"/>
        </w:rPr>
        <w:t> </w:t>
      </w:r>
      <w:r>
        <w:rPr>
          <w:i/>
          <w:color w:val="231F20"/>
          <w:sz w:val="24"/>
        </w:rPr>
        <w:t>acquisition</w:t>
      </w:r>
      <w:r>
        <w:rPr>
          <w:i/>
          <w:color w:val="231F20"/>
          <w:spacing w:val="-4"/>
          <w:sz w:val="24"/>
        </w:rPr>
        <w:t> </w:t>
      </w:r>
      <w:r>
        <w:rPr>
          <w:i/>
          <w:color w:val="231F20"/>
          <w:sz w:val="24"/>
        </w:rPr>
        <w:t>or disposal” of real property, clearly indicating</w:t>
      </w:r>
      <w:r>
        <w:rPr>
          <w:i/>
          <w:color w:val="231F20"/>
          <w:spacing w:val="40"/>
          <w:sz w:val="24"/>
        </w:rPr>
        <w:t> </w:t>
      </w:r>
      <w:r>
        <w:rPr>
          <w:i/>
          <w:color w:val="231F20"/>
          <w:sz w:val="24"/>
        </w:rPr>
        <w:t>the legislature’s intent to encompass all means of acquiring real property. Limiting the</w:t>
      </w:r>
      <w:r>
        <w:rPr>
          <w:i/>
          <w:color w:val="231F20"/>
          <w:spacing w:val="40"/>
          <w:sz w:val="24"/>
        </w:rPr>
        <w:t> </w:t>
      </w:r>
      <w:r>
        <w:rPr>
          <w:i/>
          <w:color w:val="231F20"/>
          <w:sz w:val="24"/>
        </w:rPr>
        <w:t>meaning of purchase also is consistent with the presumptions that all meetings of a public body are open and that the exceptions be construed narrowly. On the other hand, the terms “purchases” and “one source” in the exception indicate that the legislature had the Public Purchases Act</w:t>
      </w:r>
      <w:r>
        <w:rPr>
          <w:i/>
          <w:color w:val="231F20"/>
          <w:spacing w:val="40"/>
          <w:sz w:val="24"/>
        </w:rPr>
        <w:t> </w:t>
      </w:r>
      <w:r>
        <w:rPr>
          <w:i/>
          <w:color w:val="231F20"/>
          <w:sz w:val="24"/>
        </w:rPr>
        <w:t>(now the Procurement Code) in mind when it drafted the exemption. At that</w:t>
      </w:r>
      <w:r>
        <w:rPr>
          <w:i/>
          <w:color w:val="231F20"/>
          <w:spacing w:val="40"/>
          <w:sz w:val="24"/>
        </w:rPr>
        <w:t> </w:t>
      </w:r>
      <w:r>
        <w:rPr>
          <w:i/>
          <w:color w:val="231F20"/>
          <w:sz w:val="24"/>
        </w:rPr>
        <w:t>time, the Public Purchases Act broadly defined “purchasing” as “procuring” materials and services. There also is no obvious policy reason for</w:t>
      </w:r>
      <w:r>
        <w:rPr>
          <w:i/>
          <w:color w:val="231F20"/>
          <w:spacing w:val="-5"/>
          <w:sz w:val="24"/>
        </w:rPr>
        <w:t> </w:t>
      </w:r>
      <w:r>
        <w:rPr>
          <w:i/>
          <w:color w:val="231F20"/>
          <w:sz w:val="24"/>
        </w:rPr>
        <w:t>including</w:t>
      </w:r>
      <w:r>
        <w:rPr>
          <w:i/>
          <w:color w:val="231F20"/>
          <w:spacing w:val="-5"/>
          <w:sz w:val="24"/>
        </w:rPr>
        <w:t> </w:t>
      </w:r>
      <w:r>
        <w:rPr>
          <w:i/>
          <w:color w:val="231F20"/>
          <w:sz w:val="24"/>
        </w:rPr>
        <w:t>purchases</w:t>
      </w:r>
      <w:r>
        <w:rPr>
          <w:i/>
          <w:color w:val="231F20"/>
          <w:spacing w:val="-3"/>
          <w:sz w:val="24"/>
        </w:rPr>
        <w:t> </w:t>
      </w:r>
      <w:r>
        <w:rPr>
          <w:i/>
          <w:color w:val="231F20"/>
          <w:sz w:val="24"/>
        </w:rPr>
        <w:t>but</w:t>
      </w:r>
      <w:r>
        <w:rPr>
          <w:i/>
          <w:color w:val="231F20"/>
          <w:spacing w:val="-5"/>
          <w:sz w:val="24"/>
        </w:rPr>
        <w:t> </w:t>
      </w:r>
      <w:r>
        <w:rPr>
          <w:i/>
          <w:color w:val="231F20"/>
          <w:sz w:val="24"/>
        </w:rPr>
        <w:t>not</w:t>
      </w:r>
      <w:r>
        <w:rPr>
          <w:i/>
          <w:color w:val="231F20"/>
          <w:spacing w:val="-5"/>
          <w:sz w:val="24"/>
        </w:rPr>
        <w:t> </w:t>
      </w:r>
      <w:r>
        <w:rPr>
          <w:i/>
          <w:color w:val="231F20"/>
          <w:sz w:val="24"/>
        </w:rPr>
        <w:t>leases</w:t>
      </w:r>
      <w:r>
        <w:rPr>
          <w:i/>
          <w:color w:val="231F20"/>
          <w:spacing w:val="-5"/>
          <w:sz w:val="24"/>
        </w:rPr>
        <w:t> </w:t>
      </w:r>
      <w:r>
        <w:rPr>
          <w:i/>
          <w:color w:val="231F20"/>
          <w:sz w:val="24"/>
        </w:rPr>
        <w:t>within</w:t>
      </w:r>
      <w:r>
        <w:rPr>
          <w:i/>
          <w:color w:val="231F20"/>
          <w:spacing w:val="-5"/>
          <w:sz w:val="24"/>
        </w:rPr>
        <w:t> </w:t>
      </w:r>
      <w:r>
        <w:rPr>
          <w:i/>
          <w:color w:val="231F20"/>
          <w:sz w:val="24"/>
        </w:rPr>
        <w:t>the exemption. Accordingly, it is reasonable to conclude that, when it drafted the exemption,</w:t>
      </w:r>
      <w:r>
        <w:rPr>
          <w:i/>
          <w:color w:val="231F20"/>
          <w:spacing w:val="80"/>
          <w:sz w:val="24"/>
        </w:rPr>
        <w:t> </w:t>
      </w:r>
      <w:r>
        <w:rPr>
          <w:i/>
          <w:color w:val="231F20"/>
          <w:sz w:val="24"/>
        </w:rPr>
        <w:t>the legislature intended that the term “purchases” be employed broadly to </w:t>
      </w:r>
      <w:r>
        <w:rPr>
          <w:i/>
          <w:color w:val="231F20"/>
          <w:sz w:val="24"/>
        </w:rPr>
        <w:t>include </w:t>
      </w:r>
      <w:r>
        <w:rPr>
          <w:i/>
          <w:color w:val="231F20"/>
          <w:spacing w:val="-2"/>
          <w:sz w:val="24"/>
        </w:rPr>
        <w:t>leases.</w:t>
      </w:r>
    </w:p>
    <w:p>
      <w:pPr>
        <w:pStyle w:val="BodyText"/>
        <w:spacing w:before="9"/>
        <w:rPr>
          <w:i/>
          <w:sz w:val="23"/>
        </w:rPr>
      </w:pPr>
    </w:p>
    <w:p>
      <w:pPr>
        <w:pStyle w:val="ListParagraph"/>
        <w:numPr>
          <w:ilvl w:val="0"/>
          <w:numId w:val="12"/>
        </w:numPr>
        <w:tabs>
          <w:tab w:pos="1210" w:val="left" w:leader="none"/>
        </w:tabs>
        <w:spacing w:line="240" w:lineRule="auto" w:before="1" w:after="0"/>
        <w:ind w:left="475" w:right="39" w:firstLine="360"/>
        <w:jc w:val="both"/>
        <w:rPr>
          <w:i/>
          <w:sz w:val="24"/>
        </w:rPr>
      </w:pPr>
      <w:r>
        <w:rPr>
          <w:i/>
          <w:color w:val="231F20"/>
          <w:sz w:val="24"/>
        </w:rPr>
        <w:t>The amount of the lease. Regardless of</w:t>
      </w:r>
      <w:r>
        <w:rPr>
          <w:i/>
          <w:color w:val="231F20"/>
          <w:sz w:val="24"/>
        </w:rPr>
        <w:t> the value of the computer, the amount actually</w:t>
      </w:r>
      <w:r>
        <w:rPr>
          <w:i/>
          <w:color w:val="231F20"/>
          <w:spacing w:val="40"/>
          <w:sz w:val="24"/>
        </w:rPr>
        <w:t> </w:t>
      </w:r>
      <w:r>
        <w:rPr>
          <w:i/>
          <w:color w:val="231F20"/>
          <w:sz w:val="24"/>
        </w:rPr>
        <w:t>to be expended by the municipality pursuant to the lease is $2,000.</w:t>
      </w:r>
    </w:p>
    <w:p>
      <w:pPr>
        <w:pStyle w:val="BodyText"/>
        <w:spacing w:before="11"/>
        <w:rPr>
          <w:i/>
          <w:sz w:val="23"/>
        </w:rPr>
      </w:pPr>
    </w:p>
    <w:p>
      <w:pPr>
        <w:pStyle w:val="ListParagraph"/>
        <w:numPr>
          <w:ilvl w:val="0"/>
          <w:numId w:val="12"/>
        </w:numPr>
        <w:tabs>
          <w:tab w:pos="1244" w:val="left" w:leader="none"/>
        </w:tabs>
        <w:spacing w:line="240" w:lineRule="auto" w:before="0" w:after="0"/>
        <w:ind w:left="475" w:right="43" w:firstLine="360"/>
        <w:jc w:val="both"/>
        <w:rPr>
          <w:i/>
          <w:sz w:val="24"/>
        </w:rPr>
      </w:pPr>
      <w:r>
        <w:rPr>
          <w:i/>
          <w:color w:val="231F20"/>
          <w:sz w:val="24"/>
        </w:rPr>
        <w:t>Available</w:t>
      </w:r>
      <w:r>
        <w:rPr>
          <w:i/>
          <w:color w:val="231F20"/>
          <w:sz w:val="24"/>
        </w:rPr>
        <w:t> sources. Under these facts,</w:t>
      </w:r>
      <w:r>
        <w:rPr>
          <w:i/>
          <w:color w:val="231F20"/>
          <w:sz w:val="24"/>
        </w:rPr>
        <w:t> there would appear to be only a single source.</w:t>
      </w:r>
    </w:p>
    <w:p>
      <w:pPr>
        <w:pStyle w:val="BodyText"/>
        <w:rPr>
          <w:i/>
        </w:rPr>
      </w:pPr>
    </w:p>
    <w:p>
      <w:pPr>
        <w:spacing w:before="0"/>
        <w:ind w:left="475" w:right="39" w:firstLine="0"/>
        <w:jc w:val="both"/>
        <w:rPr>
          <w:i/>
          <w:sz w:val="24"/>
        </w:rPr>
      </w:pPr>
      <w:r>
        <w:rPr>
          <w:i/>
          <w:color w:val="231F20"/>
          <w:sz w:val="24"/>
        </w:rPr>
        <w:t>The governing body could not discuss this lease</w:t>
      </w:r>
      <w:r>
        <w:rPr>
          <w:i/>
          <w:color w:val="231F20"/>
          <w:sz w:val="24"/>
        </w:rPr>
        <w:t> in closed session because, although the transaction arguably may be a purchase for purposes of the</w:t>
      </w:r>
      <w:r>
        <w:rPr>
          <w:i/>
          <w:color w:val="231F20"/>
          <w:spacing w:val="2"/>
          <w:sz w:val="24"/>
        </w:rPr>
        <w:t> </w:t>
      </w:r>
      <w:r>
        <w:rPr>
          <w:i/>
          <w:color w:val="231F20"/>
          <w:sz w:val="24"/>
        </w:rPr>
        <w:t>exception and</w:t>
      </w:r>
      <w:r>
        <w:rPr>
          <w:i/>
          <w:color w:val="231F20"/>
          <w:spacing w:val="1"/>
          <w:sz w:val="24"/>
        </w:rPr>
        <w:t> </w:t>
      </w:r>
      <w:r>
        <w:rPr>
          <w:i/>
          <w:color w:val="231F20"/>
          <w:sz w:val="24"/>
        </w:rPr>
        <w:t>can</w:t>
      </w:r>
      <w:r>
        <w:rPr>
          <w:i/>
          <w:color w:val="231F20"/>
          <w:spacing w:val="2"/>
          <w:sz w:val="24"/>
        </w:rPr>
        <w:t> </w:t>
      </w:r>
      <w:r>
        <w:rPr>
          <w:i/>
          <w:color w:val="231F20"/>
          <w:sz w:val="24"/>
        </w:rPr>
        <w:t>be</w:t>
      </w:r>
      <w:r>
        <w:rPr>
          <w:i/>
          <w:color w:val="231F20"/>
          <w:spacing w:val="2"/>
          <w:sz w:val="24"/>
        </w:rPr>
        <w:t> </w:t>
      </w:r>
      <w:r>
        <w:rPr>
          <w:i/>
          <w:color w:val="231F20"/>
          <w:sz w:val="24"/>
        </w:rPr>
        <w:t>made</w:t>
      </w:r>
      <w:r>
        <w:rPr>
          <w:i/>
          <w:color w:val="231F20"/>
          <w:spacing w:val="1"/>
          <w:sz w:val="24"/>
        </w:rPr>
        <w:t> </w:t>
      </w:r>
      <w:r>
        <w:rPr>
          <w:i/>
          <w:color w:val="231F20"/>
          <w:spacing w:val="-4"/>
          <w:sz w:val="24"/>
        </w:rPr>
        <w:t>from</w:t>
      </w:r>
    </w:p>
    <w:p>
      <w:pPr>
        <w:spacing w:before="90"/>
        <w:ind w:left="475" w:right="603" w:firstLine="0"/>
        <w:jc w:val="both"/>
        <w:rPr>
          <w:i/>
          <w:sz w:val="24"/>
        </w:rPr>
      </w:pPr>
      <w:r>
        <w:rPr/>
        <w:br w:type="column"/>
      </w:r>
      <w:r>
        <w:rPr>
          <w:i/>
          <w:color w:val="231F20"/>
          <w:sz w:val="24"/>
        </w:rPr>
        <w:t>only one source, the amount to be </w:t>
      </w:r>
      <w:r>
        <w:rPr>
          <w:i/>
          <w:color w:val="231F20"/>
          <w:sz w:val="24"/>
        </w:rPr>
        <w:t>expended</w:t>
      </w:r>
      <w:r>
        <w:rPr>
          <w:i/>
          <w:color w:val="231F20"/>
          <w:spacing w:val="40"/>
          <w:sz w:val="24"/>
        </w:rPr>
        <w:t> </w:t>
      </w:r>
      <w:r>
        <w:rPr>
          <w:i/>
          <w:color w:val="231F20"/>
          <w:sz w:val="24"/>
        </w:rPr>
        <w:t>does not exceed $2,500.</w:t>
      </w:r>
    </w:p>
    <w:p>
      <w:pPr>
        <w:pStyle w:val="BodyText"/>
        <w:spacing w:before="11"/>
        <w:rPr>
          <w:i/>
          <w:sz w:val="23"/>
        </w:rPr>
      </w:pPr>
    </w:p>
    <w:p>
      <w:pPr>
        <w:spacing w:before="0"/>
        <w:ind w:left="475" w:right="0" w:firstLine="0"/>
        <w:jc w:val="both"/>
        <w:rPr>
          <w:i/>
          <w:sz w:val="24"/>
        </w:rPr>
      </w:pPr>
      <w:bookmarkStart w:name="Example 54:" w:id="152"/>
      <w:bookmarkEnd w:id="15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54:</w:t>
      </w:r>
    </w:p>
    <w:p>
      <w:pPr>
        <w:pStyle w:val="BodyText"/>
        <w:rPr>
          <w:i/>
        </w:rPr>
      </w:pPr>
    </w:p>
    <w:p>
      <w:pPr>
        <w:spacing w:before="0"/>
        <w:ind w:left="475" w:right="598" w:firstLine="0"/>
        <w:jc w:val="both"/>
        <w:rPr>
          <w:i/>
          <w:sz w:val="24"/>
        </w:rPr>
      </w:pPr>
      <w:r>
        <w:rPr>
          <w:i/>
          <w:color w:val="231F20"/>
          <w:sz w:val="24"/>
        </w:rPr>
        <w:t>A board of county commissioners is considering</w:t>
      </w:r>
      <w:r>
        <w:rPr>
          <w:i/>
          <w:color w:val="231F20"/>
          <w:sz w:val="24"/>
        </w:rPr>
        <w:t> the</w:t>
      </w:r>
      <w:r>
        <w:rPr>
          <w:i/>
          <w:color w:val="231F20"/>
          <w:spacing w:val="68"/>
          <w:sz w:val="24"/>
        </w:rPr>
        <w:t> </w:t>
      </w:r>
      <w:r>
        <w:rPr>
          <w:i/>
          <w:color w:val="231F20"/>
          <w:sz w:val="24"/>
        </w:rPr>
        <w:t>purchase</w:t>
      </w:r>
      <w:r>
        <w:rPr>
          <w:i/>
          <w:color w:val="231F20"/>
          <w:spacing w:val="68"/>
          <w:sz w:val="24"/>
        </w:rPr>
        <w:t> </w:t>
      </w:r>
      <w:r>
        <w:rPr>
          <w:i/>
          <w:color w:val="231F20"/>
          <w:sz w:val="24"/>
        </w:rPr>
        <w:t>of</w:t>
      </w:r>
      <w:r>
        <w:rPr>
          <w:i/>
          <w:color w:val="231F20"/>
          <w:spacing w:val="69"/>
          <w:sz w:val="24"/>
        </w:rPr>
        <w:t> </w:t>
      </w:r>
      <w:r>
        <w:rPr>
          <w:i/>
          <w:color w:val="231F20"/>
          <w:sz w:val="24"/>
        </w:rPr>
        <w:t>a</w:t>
      </w:r>
      <w:r>
        <w:rPr>
          <w:i/>
          <w:color w:val="231F20"/>
          <w:spacing w:val="70"/>
          <w:sz w:val="24"/>
        </w:rPr>
        <w:t> </w:t>
      </w:r>
      <w:r>
        <w:rPr>
          <w:i/>
          <w:color w:val="231F20"/>
          <w:sz w:val="24"/>
        </w:rPr>
        <w:t>particular</w:t>
      </w:r>
      <w:r>
        <w:rPr>
          <w:i/>
          <w:color w:val="231F20"/>
          <w:spacing w:val="69"/>
          <w:sz w:val="24"/>
        </w:rPr>
        <w:t> </w:t>
      </w:r>
      <w:r>
        <w:rPr>
          <w:i/>
          <w:color w:val="231F20"/>
          <w:sz w:val="24"/>
        </w:rPr>
        <w:t>dump</w:t>
      </w:r>
      <w:r>
        <w:rPr>
          <w:i/>
          <w:color w:val="231F20"/>
          <w:spacing w:val="69"/>
          <w:sz w:val="24"/>
        </w:rPr>
        <w:t> </w:t>
      </w:r>
      <w:r>
        <w:rPr>
          <w:i/>
          <w:color w:val="231F20"/>
          <w:sz w:val="24"/>
        </w:rPr>
        <w:t>truck</w:t>
      </w:r>
      <w:r>
        <w:rPr>
          <w:i/>
          <w:color w:val="231F20"/>
          <w:spacing w:val="68"/>
          <w:sz w:val="24"/>
        </w:rPr>
        <w:t> </w:t>
      </w:r>
      <w:r>
        <w:rPr>
          <w:i/>
          <w:color w:val="231F20"/>
          <w:spacing w:val="-5"/>
          <w:sz w:val="24"/>
        </w:rPr>
        <w:t>for</w:t>
      </w:r>
    </w:p>
    <w:p>
      <w:pPr>
        <w:spacing w:before="0"/>
        <w:ind w:left="475" w:right="598" w:firstLine="0"/>
        <w:jc w:val="both"/>
        <w:rPr>
          <w:i/>
          <w:sz w:val="24"/>
        </w:rPr>
      </w:pPr>
      <w:r>
        <w:rPr>
          <w:i/>
          <w:color w:val="231F20"/>
          <w:sz w:val="24"/>
        </w:rPr>
        <w:t>$30,000. While there are comparable trucks</w:t>
      </w:r>
      <w:r>
        <w:rPr>
          <w:i/>
          <w:color w:val="231F20"/>
          <w:sz w:val="24"/>
        </w:rPr>
        <w:t> made</w:t>
      </w:r>
      <w:r>
        <w:rPr>
          <w:i/>
          <w:color w:val="231F20"/>
          <w:spacing w:val="-5"/>
          <w:sz w:val="24"/>
        </w:rPr>
        <w:t> </w:t>
      </w:r>
      <w:r>
        <w:rPr>
          <w:i/>
          <w:color w:val="231F20"/>
          <w:sz w:val="24"/>
        </w:rPr>
        <w:t>by</w:t>
      </w:r>
      <w:r>
        <w:rPr>
          <w:i/>
          <w:color w:val="231F20"/>
          <w:spacing w:val="-5"/>
          <w:sz w:val="24"/>
        </w:rPr>
        <w:t> </w:t>
      </w:r>
      <w:r>
        <w:rPr>
          <w:i/>
          <w:color w:val="231F20"/>
          <w:sz w:val="24"/>
        </w:rPr>
        <w:t>several</w:t>
      </w:r>
      <w:r>
        <w:rPr>
          <w:i/>
          <w:color w:val="231F20"/>
          <w:spacing w:val="-4"/>
          <w:sz w:val="24"/>
        </w:rPr>
        <w:t> </w:t>
      </w:r>
      <w:r>
        <w:rPr>
          <w:i/>
          <w:color w:val="231F20"/>
          <w:sz w:val="24"/>
        </w:rPr>
        <w:t>manufacturers</w:t>
      </w:r>
      <w:r>
        <w:rPr>
          <w:i/>
          <w:color w:val="231F20"/>
          <w:spacing w:val="-4"/>
          <w:sz w:val="24"/>
        </w:rPr>
        <w:t> </w:t>
      </w:r>
      <w:r>
        <w:rPr>
          <w:i/>
          <w:color w:val="231F20"/>
          <w:sz w:val="24"/>
        </w:rPr>
        <w:t>that</w:t>
      </w:r>
      <w:r>
        <w:rPr>
          <w:i/>
          <w:color w:val="231F20"/>
          <w:spacing w:val="-4"/>
          <w:sz w:val="24"/>
        </w:rPr>
        <w:t> </w:t>
      </w:r>
      <w:r>
        <w:rPr>
          <w:i/>
          <w:color w:val="231F20"/>
          <w:sz w:val="24"/>
        </w:rPr>
        <w:t>would</w:t>
      </w:r>
      <w:r>
        <w:rPr>
          <w:i/>
          <w:color w:val="231F20"/>
          <w:spacing w:val="-4"/>
          <w:sz w:val="24"/>
        </w:rPr>
        <w:t> </w:t>
      </w:r>
      <w:r>
        <w:rPr>
          <w:i/>
          <w:color w:val="231F20"/>
          <w:sz w:val="24"/>
        </w:rPr>
        <w:t>serve the same purpose, the governing body desires one particular model since it is the same brand as the county’s existing dumpsters. However, as long as there are comparable models available from other sources, this may not be considered</w:t>
      </w:r>
      <w:r>
        <w:rPr>
          <w:i/>
          <w:color w:val="231F20"/>
          <w:spacing w:val="40"/>
          <w:sz w:val="24"/>
        </w:rPr>
        <w:t> </w:t>
      </w:r>
      <w:r>
        <w:rPr>
          <w:i/>
          <w:color w:val="231F20"/>
          <w:sz w:val="24"/>
        </w:rPr>
        <w:t>a purchase from a single source for purposes of the Act and must be discussed in open session.</w:t>
      </w:r>
    </w:p>
    <w:p>
      <w:pPr>
        <w:pStyle w:val="BodyText"/>
        <w:rPr>
          <w:i/>
        </w:rPr>
      </w:pPr>
    </w:p>
    <w:p>
      <w:pPr>
        <w:pStyle w:val="BodyText"/>
        <w:ind w:left="475"/>
      </w:pPr>
      <w:bookmarkStart w:name="Commentary" w:id="153"/>
      <w:bookmarkEnd w:id="153"/>
      <w:r>
        <w:rPr/>
      </w:r>
      <w:r>
        <w:rPr>
          <w:color w:val="231F20"/>
          <w:spacing w:val="-2"/>
          <w:u w:val="single" w:color="231F20"/>
        </w:rPr>
        <w:t>Commentary</w:t>
      </w:r>
    </w:p>
    <w:p>
      <w:pPr>
        <w:pStyle w:val="BodyText"/>
      </w:pPr>
    </w:p>
    <w:p>
      <w:pPr>
        <w:pStyle w:val="BodyText"/>
        <w:ind w:left="475" w:right="598"/>
        <w:jc w:val="both"/>
      </w:pPr>
      <w:r>
        <w:rPr>
          <w:color w:val="231F20"/>
        </w:rPr>
        <w:t>As with the exception for limited personnel matters,</w:t>
      </w:r>
      <w:r>
        <w:rPr>
          <w:color w:val="231F20"/>
          <w:spacing w:val="-2"/>
        </w:rPr>
        <w:t> </w:t>
      </w:r>
      <w:r>
        <w:rPr>
          <w:color w:val="231F20"/>
        </w:rPr>
        <w:t>the requirement that</w:t>
      </w:r>
      <w:r>
        <w:rPr>
          <w:color w:val="231F20"/>
          <w:spacing w:val="-1"/>
        </w:rPr>
        <w:t> </w:t>
      </w:r>
      <w:r>
        <w:rPr>
          <w:color w:val="231F20"/>
        </w:rPr>
        <w:t>the</w:t>
      </w:r>
      <w:r>
        <w:rPr>
          <w:color w:val="231F20"/>
          <w:spacing w:val="-3"/>
        </w:rPr>
        <w:t> </w:t>
      </w:r>
      <w:r>
        <w:rPr>
          <w:color w:val="231F20"/>
        </w:rPr>
        <w:t>actual approval of the purchase be made in open session may appear to be a mere formality; but again, this requirement</w:t>
      </w:r>
      <w:r>
        <w:rPr>
          <w:color w:val="231F20"/>
        </w:rPr>
        <w:t> makes the particular action taken</w:t>
      </w:r>
      <w:r>
        <w:rPr>
          <w:color w:val="231F20"/>
          <w:spacing w:val="40"/>
        </w:rPr>
        <w:t> </w:t>
      </w:r>
      <w:r>
        <w:rPr>
          <w:color w:val="231F20"/>
        </w:rPr>
        <w:t>by the governing body a matter of public record and informs the public about how each member of the body voted.</w:t>
      </w:r>
    </w:p>
    <w:p>
      <w:pPr>
        <w:pStyle w:val="BodyText"/>
        <w:spacing w:before="1"/>
      </w:pPr>
    </w:p>
    <w:p>
      <w:pPr>
        <w:spacing w:before="0"/>
        <w:ind w:left="475" w:right="0" w:firstLine="0"/>
        <w:jc w:val="left"/>
        <w:rPr>
          <w:i/>
          <w:sz w:val="24"/>
        </w:rPr>
      </w:pPr>
      <w:bookmarkStart w:name="Example 55:" w:id="154"/>
      <w:bookmarkEnd w:id="15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55:</w:t>
      </w:r>
    </w:p>
    <w:p>
      <w:pPr>
        <w:pStyle w:val="BodyText"/>
        <w:rPr>
          <w:i/>
        </w:rPr>
      </w:pPr>
    </w:p>
    <w:p>
      <w:pPr>
        <w:spacing w:line="240" w:lineRule="auto" w:before="0"/>
        <w:ind w:left="475" w:right="598" w:firstLine="0"/>
        <w:jc w:val="both"/>
        <w:rPr>
          <w:i/>
          <w:sz w:val="24"/>
        </w:rPr>
      </w:pPr>
      <w:r>
        <w:rPr>
          <w:i/>
          <w:color w:val="231F20"/>
          <w:sz w:val="24"/>
        </w:rPr>
        <w:t>In closed session, a school board discusses the</w:t>
      </w:r>
      <w:r>
        <w:rPr>
          <w:i/>
          <w:color w:val="231F20"/>
          <w:sz w:val="24"/>
        </w:rPr>
        <w:t> controversial</w:t>
      </w:r>
      <w:r>
        <w:rPr>
          <w:i/>
          <w:color w:val="231F20"/>
          <w:spacing w:val="-1"/>
          <w:sz w:val="24"/>
        </w:rPr>
        <w:t> </w:t>
      </w:r>
      <w:r>
        <w:rPr>
          <w:i/>
          <w:color w:val="231F20"/>
          <w:sz w:val="24"/>
        </w:rPr>
        <w:t>purchase</w:t>
      </w:r>
      <w:r>
        <w:rPr>
          <w:i/>
          <w:color w:val="231F20"/>
          <w:spacing w:val="-3"/>
          <w:sz w:val="24"/>
        </w:rPr>
        <w:t> </w:t>
      </w:r>
      <w:r>
        <w:rPr>
          <w:i/>
          <w:color w:val="231F20"/>
          <w:sz w:val="24"/>
        </w:rPr>
        <w:t>of</w:t>
      </w:r>
      <w:r>
        <w:rPr>
          <w:i/>
          <w:color w:val="231F20"/>
          <w:spacing w:val="-1"/>
          <w:sz w:val="24"/>
        </w:rPr>
        <w:t> </w:t>
      </w:r>
      <w:r>
        <w:rPr>
          <w:i/>
          <w:color w:val="231F20"/>
          <w:sz w:val="24"/>
        </w:rPr>
        <w:t>a</w:t>
      </w:r>
      <w:r>
        <w:rPr>
          <w:i/>
          <w:color w:val="231F20"/>
          <w:spacing w:val="-2"/>
          <w:sz w:val="24"/>
        </w:rPr>
        <w:t> </w:t>
      </w:r>
      <w:r>
        <w:rPr>
          <w:i/>
          <w:color w:val="231F20"/>
          <w:sz w:val="24"/>
        </w:rPr>
        <w:t>$2,750</w:t>
      </w:r>
      <w:r>
        <w:rPr>
          <w:i/>
          <w:color w:val="231F20"/>
          <w:spacing w:val="-2"/>
          <w:sz w:val="24"/>
        </w:rPr>
        <w:t> </w:t>
      </w:r>
      <w:r>
        <w:rPr>
          <w:i/>
          <w:color w:val="231F20"/>
          <w:sz w:val="24"/>
        </w:rPr>
        <w:t>painting</w:t>
      </w:r>
      <w:r>
        <w:rPr>
          <w:i/>
          <w:color w:val="231F20"/>
          <w:spacing w:val="-2"/>
          <w:sz w:val="24"/>
        </w:rPr>
        <w:t> </w:t>
      </w:r>
      <w:r>
        <w:rPr>
          <w:i/>
          <w:color w:val="231F20"/>
          <w:sz w:val="24"/>
        </w:rPr>
        <w:t>of</w:t>
      </w:r>
      <w:r>
        <w:rPr>
          <w:i/>
          <w:color w:val="231F20"/>
          <w:spacing w:val="-1"/>
          <w:sz w:val="24"/>
        </w:rPr>
        <w:t> </w:t>
      </w:r>
      <w:r>
        <w:rPr>
          <w:i/>
          <w:color w:val="231F20"/>
          <w:sz w:val="24"/>
        </w:rPr>
        <w:t>a cougar to hang in the auditorium as the symbol of the high school basketball team. The painting is available from only one artist. The closed session is proper, but when the discussion is concluded, the board must reconvene in open session to vote on the proposed purchase.</w:t>
      </w:r>
    </w:p>
    <w:p>
      <w:pPr>
        <w:pStyle w:val="BodyText"/>
        <w:spacing w:before="9"/>
        <w:rPr>
          <w:i/>
          <w:sz w:val="23"/>
        </w:rPr>
      </w:pPr>
    </w:p>
    <w:p>
      <w:pPr>
        <w:pStyle w:val="BodyText"/>
        <w:ind w:left="475"/>
      </w:pPr>
      <w:bookmarkStart w:name="Commentary" w:id="155"/>
      <w:bookmarkEnd w:id="155"/>
      <w:r>
        <w:rPr/>
      </w:r>
      <w:r>
        <w:rPr>
          <w:color w:val="231F20"/>
          <w:spacing w:val="-2"/>
          <w:u w:val="single" w:color="231F20"/>
        </w:rPr>
        <w:t>Commentary</w:t>
      </w:r>
    </w:p>
    <w:p>
      <w:pPr>
        <w:pStyle w:val="BodyText"/>
      </w:pPr>
    </w:p>
    <w:p>
      <w:pPr>
        <w:pStyle w:val="BodyText"/>
        <w:ind w:left="475" w:right="598"/>
        <w:jc w:val="both"/>
      </w:pPr>
      <w:r>
        <w:rPr>
          <w:color w:val="231F20"/>
        </w:rPr>
        <w:t>The second situation where a public body may close a meeting</w:t>
      </w:r>
      <w:r>
        <w:rPr>
          <w:color w:val="231F20"/>
          <w:spacing w:val="-1"/>
        </w:rPr>
        <w:t> </w:t>
      </w:r>
      <w:r>
        <w:rPr>
          <w:color w:val="231F20"/>
        </w:rPr>
        <w:t>under this paragraph is intended to parallel the similar protection provided under Section 13-1-116 of the Procurement</w:t>
      </w:r>
      <w:r>
        <w:rPr>
          <w:color w:val="231F20"/>
        </w:rPr>
        <w:t> Code.</w:t>
      </w:r>
      <w:r>
        <w:rPr>
          <w:color w:val="231F20"/>
          <w:spacing w:val="40"/>
        </w:rPr>
        <w:t> </w:t>
      </w:r>
      <w:r>
        <w:rPr>
          <w:color w:val="231F20"/>
        </w:rPr>
        <w:t>That</w:t>
      </w:r>
      <w:r>
        <w:rPr>
          <w:color w:val="231F20"/>
        </w:rPr>
        <w:t> provision states that the contents of proposals submitted in response</w:t>
      </w:r>
      <w:r>
        <w:rPr>
          <w:color w:val="231F20"/>
        </w:rPr>
        <w:t> to</w:t>
      </w:r>
      <w:r>
        <w:rPr>
          <w:color w:val="231F20"/>
        </w:rPr>
        <w:t> a</w:t>
      </w:r>
      <w:r>
        <w:rPr>
          <w:color w:val="231F20"/>
        </w:rPr>
        <w:t> public agency’s request for proposals “shall not be disclosed</w:t>
      </w:r>
      <w:r>
        <w:rPr>
          <w:color w:val="231F20"/>
          <w:spacing w:val="65"/>
        </w:rPr>
        <w:t> </w:t>
      </w:r>
      <w:r>
        <w:rPr>
          <w:color w:val="231F20"/>
        </w:rPr>
        <w:t>so</w:t>
      </w:r>
      <w:r>
        <w:rPr>
          <w:color w:val="231F20"/>
          <w:spacing w:val="66"/>
        </w:rPr>
        <w:t> </w:t>
      </w:r>
      <w:r>
        <w:rPr>
          <w:color w:val="231F20"/>
        </w:rPr>
        <w:t>as</w:t>
      </w:r>
      <w:r>
        <w:rPr>
          <w:color w:val="231F20"/>
          <w:spacing w:val="66"/>
        </w:rPr>
        <w:t> </w:t>
      </w:r>
      <w:r>
        <w:rPr>
          <w:color w:val="231F20"/>
        </w:rPr>
        <w:t>to</w:t>
      </w:r>
      <w:r>
        <w:rPr>
          <w:color w:val="231F20"/>
          <w:spacing w:val="65"/>
        </w:rPr>
        <w:t> </w:t>
      </w:r>
      <w:r>
        <w:rPr>
          <w:color w:val="231F20"/>
        </w:rPr>
        <w:t>be</w:t>
      </w:r>
      <w:r>
        <w:rPr>
          <w:color w:val="231F20"/>
          <w:spacing w:val="67"/>
        </w:rPr>
        <w:t> </w:t>
      </w:r>
      <w:r>
        <w:rPr>
          <w:color w:val="231F20"/>
        </w:rPr>
        <w:t>available</w:t>
      </w:r>
      <w:r>
        <w:rPr>
          <w:color w:val="231F20"/>
          <w:spacing w:val="65"/>
        </w:rPr>
        <w:t> </w:t>
      </w:r>
      <w:r>
        <w:rPr>
          <w:color w:val="231F20"/>
        </w:rPr>
        <w:t>to</w:t>
      </w:r>
      <w:r>
        <w:rPr>
          <w:color w:val="231F20"/>
          <w:spacing w:val="68"/>
        </w:rPr>
        <w:t> </w:t>
      </w:r>
      <w:r>
        <w:rPr>
          <w:color w:val="231F20"/>
          <w:spacing w:val="-2"/>
        </w:rPr>
        <w:t>competing</w:t>
      </w:r>
    </w:p>
    <w:p>
      <w:pPr>
        <w:spacing w:after="0"/>
        <w:jc w:val="both"/>
        <w:sectPr>
          <w:type w:val="continuous"/>
          <w:pgSz w:w="12240" w:h="15840"/>
          <w:pgMar w:header="660" w:footer="484" w:top="480" w:bottom="280" w:left="360" w:right="240"/>
          <w:cols w:num="2" w:equalWidth="0">
            <w:col w:w="5199" w:space="684"/>
            <w:col w:w="5757"/>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40"/>
        <w:jc w:val="both"/>
      </w:pPr>
      <w:r>
        <w:rPr>
          <w:color w:val="231F20"/>
        </w:rPr>
        <w:t>offerors during the negotiation process.” In addition to enhancing a public body’s ability to get the best deal, this exception also tends to level the playing field for offerors.</w:t>
      </w:r>
    </w:p>
    <w:p>
      <w:pPr>
        <w:pStyle w:val="BodyText"/>
        <w:rPr>
          <w:sz w:val="26"/>
        </w:rPr>
      </w:pPr>
    </w:p>
    <w:p>
      <w:pPr>
        <w:pStyle w:val="BodyText"/>
        <w:spacing w:before="11"/>
        <w:rPr>
          <w:sz w:val="21"/>
        </w:rPr>
      </w:pPr>
    </w:p>
    <w:p>
      <w:pPr>
        <w:spacing w:before="0"/>
        <w:ind w:left="475" w:right="0" w:firstLine="0"/>
        <w:jc w:val="both"/>
        <w:rPr>
          <w:i/>
          <w:sz w:val="24"/>
        </w:rPr>
      </w:pPr>
      <w:r>
        <w:rPr>
          <w:i/>
          <w:color w:val="231F20"/>
          <w:sz w:val="24"/>
          <w:u w:val="single" w:color="231F20"/>
        </w:rPr>
        <w:t>Example</w:t>
      </w:r>
      <w:r>
        <w:rPr>
          <w:i/>
          <w:color w:val="231F20"/>
          <w:spacing w:val="-7"/>
          <w:sz w:val="24"/>
          <w:u w:val="single" w:color="231F20"/>
        </w:rPr>
        <w:t> </w:t>
      </w:r>
      <w:r>
        <w:rPr>
          <w:i/>
          <w:color w:val="231F20"/>
          <w:spacing w:val="-5"/>
          <w:sz w:val="24"/>
          <w:u w:val="single" w:color="231F20"/>
        </w:rPr>
        <w:t>56:</w:t>
      </w:r>
    </w:p>
    <w:p>
      <w:pPr>
        <w:pStyle w:val="BodyText"/>
        <w:rPr>
          <w:i/>
        </w:rPr>
      </w:pPr>
    </w:p>
    <w:p>
      <w:pPr>
        <w:spacing w:before="0"/>
        <w:ind w:left="475" w:right="39" w:firstLine="0"/>
        <w:jc w:val="both"/>
        <w:rPr>
          <w:i/>
          <w:sz w:val="24"/>
        </w:rPr>
      </w:pPr>
      <w:r>
        <w:rPr>
          <w:i/>
          <w:color w:val="231F20"/>
          <w:sz w:val="24"/>
        </w:rPr>
        <w:t>A water district issues a request for proposals</w:t>
      </w:r>
      <w:r>
        <w:rPr>
          <w:i/>
          <w:color w:val="231F20"/>
          <w:sz w:val="24"/>
        </w:rPr>
        <w:t> for auditing services. It receives six (6) proposals,</w:t>
      </w:r>
      <w:r>
        <w:rPr>
          <w:i/>
          <w:color w:val="231F20"/>
          <w:spacing w:val="-5"/>
          <w:sz w:val="24"/>
        </w:rPr>
        <w:t> </w:t>
      </w:r>
      <w:r>
        <w:rPr>
          <w:i/>
          <w:color w:val="231F20"/>
          <w:sz w:val="24"/>
        </w:rPr>
        <w:t>none</w:t>
      </w:r>
      <w:r>
        <w:rPr>
          <w:i/>
          <w:color w:val="231F20"/>
          <w:spacing w:val="-6"/>
          <w:sz w:val="24"/>
        </w:rPr>
        <w:t> </w:t>
      </w:r>
      <w:r>
        <w:rPr>
          <w:i/>
          <w:color w:val="231F20"/>
          <w:sz w:val="24"/>
        </w:rPr>
        <w:t>of</w:t>
      </w:r>
      <w:r>
        <w:rPr>
          <w:i/>
          <w:color w:val="231F20"/>
          <w:spacing w:val="-5"/>
          <w:sz w:val="24"/>
        </w:rPr>
        <w:t> </w:t>
      </w:r>
      <w:r>
        <w:rPr>
          <w:i/>
          <w:color w:val="231F20"/>
          <w:sz w:val="24"/>
        </w:rPr>
        <w:t>which</w:t>
      </w:r>
      <w:r>
        <w:rPr>
          <w:i/>
          <w:color w:val="231F20"/>
          <w:spacing w:val="-5"/>
          <w:sz w:val="24"/>
        </w:rPr>
        <w:t> </w:t>
      </w:r>
      <w:r>
        <w:rPr>
          <w:i/>
          <w:color w:val="231F20"/>
          <w:sz w:val="24"/>
        </w:rPr>
        <w:t>exactly</w:t>
      </w:r>
      <w:r>
        <w:rPr>
          <w:i/>
          <w:color w:val="231F20"/>
          <w:spacing w:val="-6"/>
          <w:sz w:val="24"/>
        </w:rPr>
        <w:t> </w:t>
      </w:r>
      <w:r>
        <w:rPr>
          <w:i/>
          <w:color w:val="231F20"/>
          <w:sz w:val="24"/>
        </w:rPr>
        <w:t>fit</w:t>
      </w:r>
      <w:r>
        <w:rPr>
          <w:i/>
          <w:color w:val="231F20"/>
          <w:spacing w:val="-5"/>
          <w:sz w:val="24"/>
        </w:rPr>
        <w:t> </w:t>
      </w:r>
      <w:r>
        <w:rPr>
          <w:i/>
          <w:color w:val="231F20"/>
          <w:sz w:val="24"/>
        </w:rPr>
        <w:t>the</w:t>
      </w:r>
      <w:r>
        <w:rPr>
          <w:i/>
          <w:color w:val="231F20"/>
          <w:spacing w:val="-6"/>
          <w:sz w:val="24"/>
        </w:rPr>
        <w:t> </w:t>
      </w:r>
      <w:r>
        <w:rPr>
          <w:i/>
          <w:color w:val="231F20"/>
          <w:sz w:val="24"/>
        </w:rPr>
        <w:t>district’s needs. The district’s governing board may hold a closed session to discuss the offers and decide how to handle negotiations with the individual </w:t>
      </w:r>
      <w:r>
        <w:rPr>
          <w:i/>
          <w:color w:val="231F20"/>
          <w:spacing w:val="-2"/>
          <w:sz w:val="24"/>
        </w:rPr>
        <w:t>offerors.</w:t>
      </w:r>
    </w:p>
    <w:p>
      <w:pPr>
        <w:pStyle w:val="BodyText"/>
        <w:rPr>
          <w:i/>
        </w:rPr>
      </w:pPr>
    </w:p>
    <w:p>
      <w:pPr>
        <w:pStyle w:val="BodyText"/>
        <w:ind w:left="475"/>
      </w:pPr>
      <w:bookmarkStart w:name="Commentary" w:id="156"/>
      <w:bookmarkEnd w:id="156"/>
      <w:r>
        <w:rPr/>
      </w:r>
      <w:r>
        <w:rPr>
          <w:color w:val="231F20"/>
          <w:spacing w:val="-2"/>
          <w:u w:val="single" w:color="231F20"/>
        </w:rPr>
        <w:t>Commentary</w:t>
      </w:r>
    </w:p>
    <w:p>
      <w:pPr>
        <w:pStyle w:val="BodyText"/>
      </w:pPr>
    </w:p>
    <w:p>
      <w:pPr>
        <w:pStyle w:val="BodyText"/>
        <w:ind w:left="475" w:right="41"/>
        <w:jc w:val="both"/>
      </w:pPr>
      <w:r>
        <w:rPr>
          <w:color w:val="231F20"/>
        </w:rPr>
        <w:t>Once</w:t>
      </w:r>
      <w:r>
        <w:rPr>
          <w:color w:val="231F20"/>
          <w:spacing w:val="-2"/>
        </w:rPr>
        <w:t> </w:t>
      </w:r>
      <w:r>
        <w:rPr>
          <w:color w:val="231F20"/>
        </w:rPr>
        <w:t>the</w:t>
      </w:r>
      <w:r>
        <w:rPr>
          <w:color w:val="231F20"/>
          <w:spacing w:val="-2"/>
        </w:rPr>
        <w:t> </w:t>
      </w:r>
      <w:r>
        <w:rPr>
          <w:color w:val="231F20"/>
        </w:rPr>
        <w:t>negotiating</w:t>
      </w:r>
      <w:r>
        <w:rPr>
          <w:color w:val="231F20"/>
          <w:spacing w:val="-3"/>
        </w:rPr>
        <w:t> </w:t>
      </w:r>
      <w:r>
        <w:rPr>
          <w:color w:val="231F20"/>
        </w:rPr>
        <w:t>process</w:t>
      </w:r>
      <w:r>
        <w:rPr>
          <w:color w:val="231F20"/>
          <w:spacing w:val="-1"/>
        </w:rPr>
        <w:t> </w:t>
      </w:r>
      <w:r>
        <w:rPr>
          <w:color w:val="231F20"/>
        </w:rPr>
        <w:t>is</w:t>
      </w:r>
      <w:r>
        <w:rPr>
          <w:color w:val="231F20"/>
          <w:spacing w:val="-1"/>
        </w:rPr>
        <w:t> </w:t>
      </w:r>
      <w:r>
        <w:rPr>
          <w:color w:val="231F20"/>
        </w:rPr>
        <w:t>finished,</w:t>
      </w:r>
      <w:r>
        <w:rPr>
          <w:color w:val="231F20"/>
          <w:spacing w:val="-1"/>
        </w:rPr>
        <w:t> </w:t>
      </w:r>
      <w:r>
        <w:rPr>
          <w:color w:val="231F20"/>
        </w:rPr>
        <w:t>there</w:t>
      </w:r>
      <w:r>
        <w:rPr>
          <w:color w:val="231F20"/>
          <w:spacing w:val="-2"/>
        </w:rPr>
        <w:t> </w:t>
      </w:r>
      <w:r>
        <w:rPr>
          <w:color w:val="231F20"/>
        </w:rPr>
        <w:t>is no longer a need for the exception and the agency’s final action to select a contractor must be taken in an open meeting.</w:t>
      </w:r>
    </w:p>
    <w:p>
      <w:pPr>
        <w:pStyle w:val="BodyText"/>
      </w:pPr>
    </w:p>
    <w:p>
      <w:pPr>
        <w:pStyle w:val="ListParagraph"/>
        <w:numPr>
          <w:ilvl w:val="0"/>
          <w:numId w:val="11"/>
        </w:numPr>
        <w:tabs>
          <w:tab w:pos="718" w:val="left" w:leader="none"/>
        </w:tabs>
        <w:spacing w:line="240" w:lineRule="auto" w:before="1" w:after="0"/>
        <w:ind w:left="717" w:right="0" w:hanging="243"/>
        <w:jc w:val="left"/>
        <w:rPr>
          <w:sz w:val="24"/>
        </w:rPr>
      </w:pPr>
      <w:bookmarkStart w:name="7. Litigation" w:id="157"/>
      <w:bookmarkEnd w:id="157"/>
      <w:r>
        <w:rPr>
          <w:color w:val="231F20"/>
          <w:spacing w:val="-2"/>
          <w:sz w:val="24"/>
          <w:u w:val="single" w:color="231F20"/>
        </w:rPr>
        <w:t>L</w:t>
      </w:r>
      <w:r>
        <w:rPr>
          <w:color w:val="231F20"/>
          <w:spacing w:val="-2"/>
          <w:sz w:val="24"/>
          <w:u w:val="single" w:color="231F20"/>
        </w:rPr>
        <w:t>itigation</w:t>
      </w:r>
    </w:p>
    <w:p>
      <w:pPr>
        <w:pStyle w:val="BodyText"/>
        <w:spacing w:before="4"/>
      </w:pPr>
    </w:p>
    <w:p>
      <w:pPr>
        <w:spacing w:before="0"/>
        <w:ind w:left="475" w:right="0" w:firstLine="0"/>
        <w:jc w:val="left"/>
        <w:rPr>
          <w:b/>
          <w:sz w:val="24"/>
        </w:rPr>
      </w:pPr>
      <w:bookmarkStart w:name="The Law" w:id="158"/>
      <w:bookmarkEnd w:id="15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41" w:firstLine="0"/>
        <w:jc w:val="both"/>
        <w:rPr>
          <w:b/>
          <w:sz w:val="24"/>
        </w:rPr>
      </w:pPr>
      <w:r>
        <w:rPr>
          <w:b/>
          <w:color w:val="231F20"/>
          <w:sz w:val="24"/>
        </w:rPr>
        <w:t>Meetings subject</w:t>
      </w:r>
      <w:r>
        <w:rPr>
          <w:b/>
          <w:color w:val="231F20"/>
          <w:sz w:val="24"/>
        </w:rPr>
        <w:t> to</w:t>
      </w:r>
      <w:r>
        <w:rPr>
          <w:b/>
          <w:color w:val="231F20"/>
          <w:sz w:val="24"/>
        </w:rPr>
        <w:t> the attorney-client privilege pertaining to threatened or pending litigation in which the public body is or may become a participant.</w:t>
      </w:r>
    </w:p>
    <w:p>
      <w:pPr>
        <w:pStyle w:val="BodyText"/>
        <w:spacing w:before="7"/>
        <w:rPr>
          <w:b/>
          <w:sz w:val="23"/>
        </w:rPr>
      </w:pPr>
    </w:p>
    <w:p>
      <w:pPr>
        <w:pStyle w:val="BodyText"/>
        <w:ind w:left="475"/>
      </w:pPr>
      <w:bookmarkStart w:name="Commentary" w:id="159"/>
      <w:bookmarkEnd w:id="159"/>
      <w:r>
        <w:rPr/>
      </w:r>
      <w:r>
        <w:rPr>
          <w:color w:val="231F20"/>
          <w:spacing w:val="-2"/>
          <w:u w:val="single" w:color="231F20"/>
        </w:rPr>
        <w:t>Commentary</w:t>
      </w:r>
    </w:p>
    <w:p>
      <w:pPr>
        <w:pStyle w:val="BodyText"/>
      </w:pPr>
    </w:p>
    <w:p>
      <w:pPr>
        <w:pStyle w:val="BodyText"/>
        <w:ind w:left="475" w:right="38"/>
        <w:jc w:val="both"/>
      </w:pPr>
      <w:r>
        <w:rPr>
          <w:color w:val="231F20"/>
        </w:rPr>
        <w:t>This exception to the Act is intended to incorporate into the open meetings law the attorney-client privilege protecting confidential communications between attorneys and their public agency clients for the limited purpose of allowing</w:t>
      </w:r>
      <w:r>
        <w:rPr>
          <w:color w:val="231F20"/>
          <w:spacing w:val="-1"/>
        </w:rPr>
        <w:t> </w:t>
      </w:r>
      <w:r>
        <w:rPr>
          <w:color w:val="231F20"/>
        </w:rPr>
        <w:t>a</w:t>
      </w:r>
      <w:r>
        <w:rPr>
          <w:color w:val="231F20"/>
          <w:spacing w:val="-2"/>
        </w:rPr>
        <w:t> </w:t>
      </w:r>
      <w:r>
        <w:rPr>
          <w:color w:val="231F20"/>
        </w:rPr>
        <w:t>public body</w:t>
      </w:r>
      <w:r>
        <w:rPr>
          <w:color w:val="231F20"/>
          <w:spacing w:val="-6"/>
        </w:rPr>
        <w:t> </w:t>
      </w:r>
      <w:r>
        <w:rPr>
          <w:color w:val="231F20"/>
        </w:rPr>
        <w:t>to</w:t>
      </w:r>
      <w:r>
        <w:rPr>
          <w:color w:val="231F20"/>
          <w:spacing w:val="-1"/>
        </w:rPr>
        <w:t> </w:t>
      </w:r>
      <w:r>
        <w:rPr>
          <w:color w:val="231F20"/>
        </w:rPr>
        <w:t>meet</w:t>
      </w:r>
      <w:r>
        <w:rPr>
          <w:color w:val="231F20"/>
          <w:spacing w:val="-1"/>
        </w:rPr>
        <w:t> </w:t>
      </w:r>
      <w:r>
        <w:rPr>
          <w:color w:val="231F20"/>
        </w:rPr>
        <w:t>in closed</w:t>
      </w:r>
      <w:r>
        <w:rPr>
          <w:color w:val="231F20"/>
          <w:spacing w:val="-1"/>
        </w:rPr>
        <w:t> </w:t>
      </w:r>
      <w:r>
        <w:rPr>
          <w:color w:val="231F20"/>
        </w:rPr>
        <w:t>session with legal counsel to discuss threatened or pending litigation involving the public body. Public bodies, no less than private parties to litigation, are entitled to effective representation of counsel, including the opportunity to confer without disclosing the substance of the discussion. However, public bodies may invoke the attorney-client privilege to close a meeting only</w:t>
      </w:r>
      <w:r>
        <w:rPr>
          <w:color w:val="231F20"/>
          <w:spacing w:val="68"/>
        </w:rPr>
        <w:t> </w:t>
      </w:r>
      <w:r>
        <w:rPr>
          <w:color w:val="231F20"/>
        </w:rPr>
        <w:t>when</w:t>
      </w:r>
      <w:r>
        <w:rPr>
          <w:color w:val="231F20"/>
          <w:spacing w:val="74"/>
        </w:rPr>
        <w:t> </w:t>
      </w:r>
      <w:r>
        <w:rPr>
          <w:color w:val="231F20"/>
        </w:rPr>
        <w:t>the</w:t>
      </w:r>
      <w:r>
        <w:rPr>
          <w:color w:val="231F20"/>
          <w:spacing w:val="73"/>
        </w:rPr>
        <w:t> </w:t>
      </w:r>
      <w:r>
        <w:rPr>
          <w:color w:val="231F20"/>
        </w:rPr>
        <w:t>public</w:t>
      </w:r>
      <w:r>
        <w:rPr>
          <w:color w:val="231F20"/>
          <w:spacing w:val="73"/>
        </w:rPr>
        <w:t> </w:t>
      </w:r>
      <w:r>
        <w:rPr>
          <w:color w:val="231F20"/>
        </w:rPr>
        <w:t>body</w:t>
      </w:r>
      <w:r>
        <w:rPr>
          <w:color w:val="231F20"/>
          <w:spacing w:val="68"/>
        </w:rPr>
        <w:t> </w:t>
      </w:r>
      <w:r>
        <w:rPr>
          <w:color w:val="231F20"/>
        </w:rPr>
        <w:t>is</w:t>
      </w:r>
      <w:r>
        <w:rPr>
          <w:color w:val="231F20"/>
          <w:spacing w:val="74"/>
        </w:rPr>
        <w:t> </w:t>
      </w:r>
      <w:r>
        <w:rPr>
          <w:color w:val="231F20"/>
        </w:rPr>
        <w:t>involved</w:t>
      </w:r>
      <w:r>
        <w:rPr>
          <w:color w:val="231F20"/>
          <w:spacing w:val="74"/>
        </w:rPr>
        <w:t> </w:t>
      </w:r>
      <w:r>
        <w:rPr>
          <w:color w:val="231F20"/>
        </w:rPr>
        <w:t>in</w:t>
      </w:r>
      <w:r>
        <w:rPr>
          <w:color w:val="231F20"/>
          <w:spacing w:val="74"/>
        </w:rPr>
        <w:t> </w:t>
      </w:r>
      <w:r>
        <w:rPr>
          <w:color w:val="231F20"/>
          <w:spacing w:val="-10"/>
        </w:rPr>
        <w:t>a</w:t>
      </w:r>
    </w:p>
    <w:p>
      <w:pPr>
        <w:pStyle w:val="BodyText"/>
        <w:spacing w:before="90"/>
        <w:ind w:left="475" w:right="600"/>
        <w:jc w:val="both"/>
      </w:pPr>
      <w:r>
        <w:rPr/>
        <w:br w:type="column"/>
      </w:r>
      <w:r>
        <w:rPr>
          <w:color w:val="231F20"/>
        </w:rPr>
        <w:t>lawsuit or</w:t>
      </w:r>
      <w:r>
        <w:rPr>
          <w:color w:val="231F20"/>
          <w:spacing w:val="-1"/>
        </w:rPr>
        <w:t> </w:t>
      </w:r>
      <w:r>
        <w:rPr>
          <w:color w:val="231F20"/>
        </w:rPr>
        <w:t>faced</w:t>
      </w:r>
      <w:r>
        <w:rPr>
          <w:color w:val="231F20"/>
          <w:spacing w:val="-1"/>
        </w:rPr>
        <w:t> </w:t>
      </w:r>
      <w:r>
        <w:rPr>
          <w:color w:val="231F20"/>
        </w:rPr>
        <w:t>with an actual or credible</w:t>
      </w:r>
      <w:r>
        <w:rPr>
          <w:color w:val="231F20"/>
          <w:spacing w:val="-2"/>
        </w:rPr>
        <w:t> </w:t>
      </w:r>
      <w:r>
        <w:rPr>
          <w:color w:val="231F20"/>
        </w:rPr>
        <w:t>threat of litigation. Absent such a threat, the exception does not protect discussions about “possible” or “potential” litigation.</w:t>
      </w:r>
    </w:p>
    <w:p>
      <w:pPr>
        <w:pStyle w:val="BodyText"/>
        <w:spacing w:before="11"/>
        <w:rPr>
          <w:sz w:val="23"/>
        </w:rPr>
      </w:pPr>
    </w:p>
    <w:p>
      <w:pPr>
        <w:pStyle w:val="BodyText"/>
        <w:ind w:left="475" w:right="597"/>
        <w:jc w:val="both"/>
      </w:pPr>
      <w:r>
        <w:rPr>
          <w:color w:val="231F20"/>
        </w:rPr>
        <w:t>Generally, the public body’s attorney should be present</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closed</w:t>
      </w:r>
      <w:r>
        <w:rPr>
          <w:color w:val="231F20"/>
          <w:spacing w:val="-4"/>
        </w:rPr>
        <w:t> </w:t>
      </w:r>
      <w:r>
        <w:rPr>
          <w:color w:val="231F20"/>
        </w:rPr>
        <w:t>meeting,</w:t>
      </w:r>
      <w:r>
        <w:rPr>
          <w:color w:val="231F20"/>
          <w:spacing w:val="-4"/>
        </w:rPr>
        <w:t> </w:t>
      </w:r>
      <w:r>
        <w:rPr>
          <w:color w:val="231F20"/>
        </w:rPr>
        <w:t>either</w:t>
      </w:r>
      <w:r>
        <w:rPr>
          <w:color w:val="231F20"/>
          <w:spacing w:val="-5"/>
        </w:rPr>
        <w:t> </w:t>
      </w:r>
      <w:r>
        <w:rPr>
          <w:color w:val="231F20"/>
        </w:rPr>
        <w:t>in</w:t>
      </w:r>
      <w:r>
        <w:rPr>
          <w:color w:val="231F20"/>
          <w:spacing w:val="-4"/>
        </w:rPr>
        <w:t> </w:t>
      </w:r>
      <w:r>
        <w:rPr>
          <w:color w:val="231F20"/>
        </w:rPr>
        <w:t>person</w:t>
      </w:r>
      <w:r>
        <w:rPr>
          <w:color w:val="231F20"/>
          <w:spacing w:val="-4"/>
        </w:rPr>
        <w:t> </w:t>
      </w:r>
      <w:r>
        <w:rPr>
          <w:color w:val="231F20"/>
        </w:rPr>
        <w:t>or by telephone. In certain limited situations, it</w:t>
      </w:r>
      <w:r>
        <w:rPr>
          <w:color w:val="231F20"/>
          <w:spacing w:val="40"/>
        </w:rPr>
        <w:t> </w:t>
      </w:r>
      <w:r>
        <w:rPr>
          <w:color w:val="231F20"/>
        </w:rPr>
        <w:t>may be permissible for a public body to close a meeting to discuss legal advice about litigation that is given by letter or other written memorandum.</w:t>
      </w:r>
      <w:r>
        <w:rPr>
          <w:color w:val="231F20"/>
        </w:rPr>
        <w:t> In</w:t>
      </w:r>
      <w:r>
        <w:rPr>
          <w:color w:val="231F20"/>
        </w:rPr>
        <w:t> all</w:t>
      </w:r>
      <w:r>
        <w:rPr>
          <w:color w:val="231F20"/>
        </w:rPr>
        <w:t> cases, however, to legitimately invoke the pending litigation exception, the closed discussion must </w:t>
      </w:r>
      <w:r>
        <w:rPr>
          <w:color w:val="231F20"/>
        </w:rPr>
        <w:t>involve communications between the public body and</w:t>
      </w:r>
      <w:r>
        <w:rPr>
          <w:color w:val="231F20"/>
          <w:spacing w:val="40"/>
        </w:rPr>
        <w:t> </w:t>
      </w:r>
      <w:r>
        <w:rPr>
          <w:color w:val="231F20"/>
        </w:rPr>
        <w:t>its attorney.</w:t>
      </w:r>
    </w:p>
    <w:p>
      <w:pPr>
        <w:pStyle w:val="BodyText"/>
      </w:pPr>
    </w:p>
    <w:p>
      <w:pPr>
        <w:spacing w:before="0"/>
        <w:ind w:left="475" w:right="0" w:firstLine="0"/>
        <w:jc w:val="both"/>
        <w:rPr>
          <w:i/>
          <w:sz w:val="24"/>
        </w:rPr>
      </w:pPr>
      <w:bookmarkStart w:name="Example 57:" w:id="160"/>
      <w:bookmarkEnd w:id="16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57:</w:t>
      </w:r>
    </w:p>
    <w:p>
      <w:pPr>
        <w:pStyle w:val="BodyText"/>
        <w:rPr>
          <w:i/>
        </w:rPr>
      </w:pPr>
    </w:p>
    <w:p>
      <w:pPr>
        <w:spacing w:before="0"/>
        <w:ind w:left="475" w:right="598" w:firstLine="0"/>
        <w:jc w:val="both"/>
        <w:rPr>
          <w:i/>
          <w:sz w:val="24"/>
        </w:rPr>
      </w:pPr>
      <w:r>
        <w:rPr>
          <w:i/>
          <w:color w:val="231F20"/>
          <w:sz w:val="24"/>
        </w:rPr>
        <w:t>A local school board meets to discuss the</w:t>
      </w:r>
      <w:r>
        <w:rPr>
          <w:i/>
          <w:color w:val="231F20"/>
          <w:spacing w:val="-1"/>
          <w:sz w:val="24"/>
        </w:rPr>
        <w:t> </w:t>
      </w:r>
      <w:r>
        <w:rPr>
          <w:i/>
          <w:color w:val="231F20"/>
          <w:sz w:val="24"/>
        </w:rPr>
        <w:t>award</w:t>
      </w:r>
      <w:r>
        <w:rPr>
          <w:i/>
          <w:color w:val="231F20"/>
          <w:sz w:val="24"/>
        </w:rPr>
        <w:t> of a contract to one of several bidders. The board members would like to close the meeting pursuant</w:t>
      </w:r>
      <w:r>
        <w:rPr>
          <w:i/>
          <w:color w:val="231F20"/>
          <w:spacing w:val="-2"/>
          <w:sz w:val="24"/>
        </w:rPr>
        <w:t> </w:t>
      </w:r>
      <w:r>
        <w:rPr>
          <w:i/>
          <w:color w:val="231F20"/>
          <w:sz w:val="24"/>
        </w:rPr>
        <w:t>to</w:t>
      </w:r>
      <w:r>
        <w:rPr>
          <w:i/>
          <w:color w:val="231F20"/>
          <w:spacing w:val="-2"/>
          <w:sz w:val="24"/>
        </w:rPr>
        <w:t> </w:t>
      </w:r>
      <w:r>
        <w:rPr>
          <w:i/>
          <w:color w:val="231F20"/>
          <w:sz w:val="24"/>
        </w:rPr>
        <w:t>this</w:t>
      </w:r>
      <w:r>
        <w:rPr>
          <w:i/>
          <w:color w:val="231F20"/>
          <w:spacing w:val="-2"/>
          <w:sz w:val="24"/>
        </w:rPr>
        <w:t> </w:t>
      </w:r>
      <w:r>
        <w:rPr>
          <w:i/>
          <w:color w:val="231F20"/>
          <w:sz w:val="24"/>
        </w:rPr>
        <w:t>exception</w:t>
      </w:r>
      <w:r>
        <w:rPr>
          <w:i/>
          <w:color w:val="231F20"/>
          <w:spacing w:val="-2"/>
          <w:sz w:val="24"/>
        </w:rPr>
        <w:t> </w:t>
      </w:r>
      <w:r>
        <w:rPr>
          <w:i/>
          <w:color w:val="231F20"/>
          <w:sz w:val="24"/>
        </w:rPr>
        <w:t>on</w:t>
      </w:r>
      <w:r>
        <w:rPr>
          <w:i/>
          <w:color w:val="231F20"/>
          <w:spacing w:val="-2"/>
          <w:sz w:val="24"/>
        </w:rPr>
        <w:t> </w:t>
      </w:r>
      <w:r>
        <w:rPr>
          <w:i/>
          <w:color w:val="231F20"/>
          <w:sz w:val="24"/>
        </w:rPr>
        <w:t>the</w:t>
      </w:r>
      <w:r>
        <w:rPr>
          <w:i/>
          <w:color w:val="231F20"/>
          <w:spacing w:val="-3"/>
          <w:sz w:val="24"/>
        </w:rPr>
        <w:t> </w:t>
      </w:r>
      <w:r>
        <w:rPr>
          <w:i/>
          <w:color w:val="231F20"/>
          <w:sz w:val="24"/>
        </w:rPr>
        <w:t>theory</w:t>
      </w:r>
      <w:r>
        <w:rPr>
          <w:i/>
          <w:color w:val="231F20"/>
          <w:spacing w:val="-3"/>
          <w:sz w:val="24"/>
        </w:rPr>
        <w:t> </w:t>
      </w:r>
      <w:r>
        <w:rPr>
          <w:i/>
          <w:color w:val="231F20"/>
          <w:sz w:val="24"/>
        </w:rPr>
        <w:t>that</w:t>
      </w:r>
      <w:r>
        <w:rPr>
          <w:i/>
          <w:color w:val="231F20"/>
          <w:spacing w:val="-2"/>
          <w:sz w:val="24"/>
        </w:rPr>
        <w:t> </w:t>
      </w:r>
      <w:r>
        <w:rPr>
          <w:i/>
          <w:color w:val="231F20"/>
          <w:sz w:val="24"/>
        </w:rPr>
        <w:t>it</w:t>
      </w:r>
      <w:r>
        <w:rPr>
          <w:i/>
          <w:color w:val="231F20"/>
          <w:spacing w:val="-2"/>
          <w:sz w:val="24"/>
        </w:rPr>
        <w:t> </w:t>
      </w:r>
      <w:r>
        <w:rPr>
          <w:i/>
          <w:color w:val="231F20"/>
          <w:sz w:val="24"/>
        </w:rPr>
        <w:t>is always possible that one of the unsuccessful bidders may threaten litigation. If there is no actual and credible threat of litigation by one of the bidders, this would be an unwarranted extension of the exception and the meeting may not be closed.</w:t>
      </w:r>
    </w:p>
    <w:p>
      <w:pPr>
        <w:pStyle w:val="BodyText"/>
        <w:spacing w:before="1"/>
        <w:rPr>
          <w:i/>
        </w:rPr>
      </w:pPr>
    </w:p>
    <w:p>
      <w:pPr>
        <w:spacing w:before="0"/>
        <w:ind w:left="475" w:right="0" w:firstLine="0"/>
        <w:jc w:val="both"/>
        <w:rPr>
          <w:i/>
          <w:sz w:val="24"/>
        </w:rPr>
      </w:pPr>
      <w:bookmarkStart w:name="Example 58:" w:id="161"/>
      <w:bookmarkEnd w:id="16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58:</w:t>
      </w:r>
    </w:p>
    <w:p>
      <w:pPr>
        <w:pStyle w:val="BodyText"/>
        <w:rPr>
          <w:i/>
        </w:rPr>
      </w:pPr>
    </w:p>
    <w:p>
      <w:pPr>
        <w:spacing w:line="240" w:lineRule="auto" w:before="0"/>
        <w:ind w:left="475" w:right="597" w:firstLine="0"/>
        <w:jc w:val="both"/>
        <w:rPr>
          <w:i/>
          <w:sz w:val="24"/>
        </w:rPr>
      </w:pPr>
      <w:r>
        <w:rPr>
          <w:i/>
          <w:color w:val="231F20"/>
          <w:sz w:val="24"/>
        </w:rPr>
        <w:t>The city council is conducting a hearing on</w:t>
      </w:r>
      <w:r>
        <w:rPr>
          <w:i/>
          <w:color w:val="231F20"/>
          <w:sz w:val="24"/>
        </w:rPr>
        <w:t> proposed zoning regulations. Several witnesses raise plausible questions about the legality of one of the proposed rules and state that they definitely would challenge the rules in court if adopted. At the hearing or at a later time, the council may meet in closed session with its attorney to evaluate the legality of the proposed rule</w:t>
      </w:r>
      <w:r>
        <w:rPr>
          <w:i/>
          <w:color w:val="231F20"/>
          <w:spacing w:val="-5"/>
          <w:sz w:val="24"/>
        </w:rPr>
        <w:t> </w:t>
      </w:r>
      <w:r>
        <w:rPr>
          <w:i/>
          <w:color w:val="231F20"/>
          <w:sz w:val="24"/>
        </w:rPr>
        <w:t>and</w:t>
      </w:r>
      <w:r>
        <w:rPr>
          <w:i/>
          <w:color w:val="231F20"/>
          <w:spacing w:val="-4"/>
          <w:sz w:val="24"/>
        </w:rPr>
        <w:t> </w:t>
      </w:r>
      <w:r>
        <w:rPr>
          <w:i/>
          <w:color w:val="231F20"/>
          <w:sz w:val="24"/>
        </w:rPr>
        <w:t>make</w:t>
      </w:r>
      <w:r>
        <w:rPr>
          <w:i/>
          <w:color w:val="231F20"/>
          <w:spacing w:val="-5"/>
          <w:sz w:val="24"/>
        </w:rPr>
        <w:t> </w:t>
      </w:r>
      <w:r>
        <w:rPr>
          <w:i/>
          <w:color w:val="231F20"/>
          <w:sz w:val="24"/>
        </w:rPr>
        <w:t>the</w:t>
      </w:r>
      <w:r>
        <w:rPr>
          <w:i/>
          <w:color w:val="231F20"/>
          <w:spacing w:val="-5"/>
          <w:sz w:val="24"/>
        </w:rPr>
        <w:t> </w:t>
      </w:r>
      <w:r>
        <w:rPr>
          <w:i/>
          <w:color w:val="231F20"/>
          <w:sz w:val="24"/>
        </w:rPr>
        <w:t>determination</w:t>
      </w:r>
      <w:r>
        <w:rPr>
          <w:i/>
          <w:color w:val="231F20"/>
          <w:spacing w:val="-4"/>
          <w:sz w:val="24"/>
        </w:rPr>
        <w:t> </w:t>
      </w:r>
      <w:r>
        <w:rPr>
          <w:i/>
          <w:color w:val="231F20"/>
          <w:sz w:val="24"/>
        </w:rPr>
        <w:t>as</w:t>
      </w:r>
      <w:r>
        <w:rPr>
          <w:i/>
          <w:color w:val="231F20"/>
          <w:spacing w:val="-4"/>
          <w:sz w:val="24"/>
        </w:rPr>
        <w:t> </w:t>
      </w:r>
      <w:r>
        <w:rPr>
          <w:i/>
          <w:color w:val="231F20"/>
          <w:sz w:val="24"/>
        </w:rPr>
        <w:t>to</w:t>
      </w:r>
      <w:r>
        <w:rPr>
          <w:i/>
          <w:color w:val="231F20"/>
          <w:spacing w:val="-4"/>
          <w:sz w:val="24"/>
        </w:rPr>
        <w:t> </w:t>
      </w:r>
      <w:r>
        <w:rPr>
          <w:i/>
          <w:color w:val="231F20"/>
          <w:sz w:val="24"/>
        </w:rPr>
        <w:t>whether</w:t>
      </w:r>
      <w:r>
        <w:rPr>
          <w:i/>
          <w:color w:val="231F20"/>
          <w:spacing w:val="-4"/>
          <w:sz w:val="24"/>
        </w:rPr>
        <w:t> </w:t>
      </w:r>
      <w:r>
        <w:rPr>
          <w:i/>
          <w:color w:val="231F20"/>
          <w:sz w:val="24"/>
        </w:rPr>
        <w:t>it could be defended in court.</w:t>
      </w:r>
    </w:p>
    <w:p>
      <w:pPr>
        <w:pStyle w:val="BodyText"/>
        <w:spacing w:before="9"/>
        <w:rPr>
          <w:i/>
          <w:sz w:val="23"/>
        </w:rPr>
      </w:pPr>
    </w:p>
    <w:p>
      <w:pPr>
        <w:spacing w:before="0"/>
        <w:ind w:left="475" w:right="0" w:firstLine="0"/>
        <w:jc w:val="both"/>
        <w:rPr>
          <w:i/>
          <w:sz w:val="24"/>
        </w:rPr>
      </w:pPr>
      <w:bookmarkStart w:name="Example 59:" w:id="162"/>
      <w:bookmarkEnd w:id="16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59:</w:t>
      </w:r>
    </w:p>
    <w:p>
      <w:pPr>
        <w:pStyle w:val="BodyText"/>
        <w:rPr>
          <w:i/>
        </w:rPr>
      </w:pPr>
    </w:p>
    <w:p>
      <w:pPr>
        <w:spacing w:before="0"/>
        <w:ind w:left="475" w:right="598" w:firstLine="0"/>
        <w:jc w:val="both"/>
        <w:rPr>
          <w:i/>
          <w:sz w:val="24"/>
        </w:rPr>
      </w:pPr>
      <w:r>
        <w:rPr>
          <w:i/>
          <w:color w:val="231F20"/>
          <w:sz w:val="24"/>
        </w:rPr>
        <w:t>The attorney for a licensing board feels that a</w:t>
      </w:r>
      <w:r>
        <w:rPr>
          <w:i/>
          <w:color w:val="231F20"/>
          <w:sz w:val="24"/>
        </w:rPr>
        <w:t> recent Supreme Court decision may affect the validity of certain regulations adopted by the board.</w:t>
      </w:r>
      <w:r>
        <w:rPr>
          <w:i/>
          <w:color w:val="231F20"/>
          <w:spacing w:val="7"/>
          <w:sz w:val="24"/>
        </w:rPr>
        <w:t> </w:t>
      </w:r>
      <w:r>
        <w:rPr>
          <w:i/>
          <w:color w:val="231F20"/>
          <w:sz w:val="24"/>
        </w:rPr>
        <w:t>Absent</w:t>
      </w:r>
      <w:r>
        <w:rPr>
          <w:i/>
          <w:color w:val="231F20"/>
          <w:spacing w:val="9"/>
          <w:sz w:val="24"/>
        </w:rPr>
        <w:t> </w:t>
      </w:r>
      <w:r>
        <w:rPr>
          <w:i/>
          <w:color w:val="231F20"/>
          <w:sz w:val="24"/>
        </w:rPr>
        <w:t>a</w:t>
      </w:r>
      <w:r>
        <w:rPr>
          <w:i/>
          <w:color w:val="231F20"/>
          <w:spacing w:val="7"/>
          <w:sz w:val="24"/>
        </w:rPr>
        <w:t> </w:t>
      </w:r>
      <w:r>
        <w:rPr>
          <w:i/>
          <w:color w:val="231F20"/>
          <w:sz w:val="24"/>
        </w:rPr>
        <w:t>pending</w:t>
      </w:r>
      <w:r>
        <w:rPr>
          <w:i/>
          <w:color w:val="231F20"/>
          <w:spacing w:val="8"/>
          <w:sz w:val="24"/>
        </w:rPr>
        <w:t> </w:t>
      </w:r>
      <w:r>
        <w:rPr>
          <w:i/>
          <w:color w:val="231F20"/>
          <w:sz w:val="24"/>
        </w:rPr>
        <w:t>lawsuit</w:t>
      </w:r>
      <w:r>
        <w:rPr>
          <w:i/>
          <w:color w:val="231F20"/>
          <w:spacing w:val="9"/>
          <w:sz w:val="24"/>
        </w:rPr>
        <w:t> </w:t>
      </w:r>
      <w:r>
        <w:rPr>
          <w:i/>
          <w:color w:val="231F20"/>
          <w:sz w:val="24"/>
        </w:rPr>
        <w:t>on</w:t>
      </w:r>
      <w:r>
        <w:rPr>
          <w:i/>
          <w:color w:val="231F20"/>
          <w:spacing w:val="5"/>
          <w:sz w:val="24"/>
        </w:rPr>
        <w:t> </w:t>
      </w:r>
      <w:r>
        <w:rPr>
          <w:i/>
          <w:color w:val="231F20"/>
          <w:sz w:val="24"/>
        </w:rPr>
        <w:t>this</w:t>
      </w:r>
      <w:r>
        <w:rPr>
          <w:i/>
          <w:color w:val="231F20"/>
          <w:spacing w:val="8"/>
          <w:sz w:val="24"/>
        </w:rPr>
        <w:t> </w:t>
      </w:r>
      <w:r>
        <w:rPr>
          <w:i/>
          <w:color w:val="231F20"/>
          <w:sz w:val="24"/>
        </w:rPr>
        <w:t>issue</w:t>
      </w:r>
      <w:r>
        <w:rPr>
          <w:i/>
          <w:color w:val="231F20"/>
          <w:spacing w:val="8"/>
          <w:sz w:val="24"/>
        </w:rPr>
        <w:t> </w:t>
      </w:r>
      <w:r>
        <w:rPr>
          <w:i/>
          <w:color w:val="231F20"/>
          <w:spacing w:val="-5"/>
          <w:sz w:val="24"/>
        </w:rPr>
        <w:t>in</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9" w:firstLine="0"/>
        <w:jc w:val="both"/>
        <w:rPr>
          <w:i/>
          <w:sz w:val="24"/>
        </w:rPr>
      </w:pPr>
      <w:r>
        <w:rPr>
          <w:i/>
          <w:color w:val="231F20"/>
          <w:sz w:val="24"/>
        </w:rPr>
        <w:t>which the board may participate or an actual</w:t>
      </w:r>
      <w:r>
        <w:rPr>
          <w:i/>
          <w:color w:val="231F20"/>
          <w:sz w:val="24"/>
        </w:rPr>
        <w:t> threat of litigation, the board and its attorney may not meet in closed session to discuss the impact of the court decision and whether it is necessary to amend the regulations to prevent a possible legal action from being filed against</w:t>
      </w:r>
      <w:r>
        <w:rPr>
          <w:i/>
          <w:color w:val="231F20"/>
          <w:spacing w:val="40"/>
          <w:sz w:val="24"/>
        </w:rPr>
        <w:t> </w:t>
      </w:r>
      <w:r>
        <w:rPr>
          <w:i/>
          <w:color w:val="231F20"/>
          <w:sz w:val="24"/>
        </w:rPr>
        <w:t>the board.</w:t>
      </w:r>
    </w:p>
    <w:p>
      <w:pPr>
        <w:pStyle w:val="BodyText"/>
        <w:rPr>
          <w:i/>
        </w:rPr>
      </w:pPr>
    </w:p>
    <w:p>
      <w:pPr>
        <w:spacing w:before="0"/>
        <w:ind w:left="475" w:right="0" w:firstLine="0"/>
        <w:jc w:val="both"/>
        <w:rPr>
          <w:i/>
          <w:sz w:val="24"/>
        </w:rPr>
      </w:pPr>
      <w:bookmarkStart w:name="Example 60:" w:id="163"/>
      <w:bookmarkEnd w:id="16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60:</w:t>
      </w:r>
    </w:p>
    <w:p>
      <w:pPr>
        <w:pStyle w:val="BodyText"/>
        <w:rPr>
          <w:i/>
        </w:rPr>
      </w:pPr>
    </w:p>
    <w:p>
      <w:pPr>
        <w:spacing w:before="0"/>
        <w:ind w:left="475" w:right="38" w:firstLine="0"/>
        <w:jc w:val="both"/>
        <w:rPr>
          <w:i/>
          <w:sz w:val="24"/>
        </w:rPr>
      </w:pPr>
      <w:r>
        <w:rPr>
          <w:i/>
          <w:color w:val="231F20"/>
          <w:sz w:val="24"/>
        </w:rPr>
        <w:t>A municipality</w:t>
      </w:r>
      <w:r>
        <w:rPr>
          <w:i/>
          <w:color w:val="231F20"/>
          <w:spacing w:val="-1"/>
          <w:sz w:val="24"/>
        </w:rPr>
        <w:t> </w:t>
      </w:r>
      <w:r>
        <w:rPr>
          <w:i/>
          <w:color w:val="231F20"/>
          <w:sz w:val="24"/>
        </w:rPr>
        <w:t>and a rancher have</w:t>
      </w:r>
      <w:r>
        <w:rPr>
          <w:i/>
          <w:color w:val="231F20"/>
          <w:spacing w:val="-1"/>
          <w:sz w:val="24"/>
        </w:rPr>
        <w:t> </w:t>
      </w:r>
      <w:r>
        <w:rPr>
          <w:i/>
          <w:color w:val="231F20"/>
          <w:sz w:val="24"/>
        </w:rPr>
        <w:t>both claimed</w:t>
      </w:r>
      <w:r>
        <w:rPr>
          <w:i/>
          <w:color w:val="231F20"/>
          <w:sz w:val="24"/>
        </w:rPr>
        <w:t> ownership of a particular piece of property. They are attempting to negotiate a settlement of the dispute to avoid having to go to court. The governing body of the municipality properly meets in closed session with its attorney to determine how much they are willing to give up to reach a settlement. Later, at a subsequent meeting, the governing body may go into executive session to discuss a letter from the attorney setting forth the proposed settlement terms and her advice regarding acceptance of the terms.</w:t>
      </w:r>
    </w:p>
    <w:p>
      <w:pPr>
        <w:pStyle w:val="BodyText"/>
        <w:rPr>
          <w:i/>
        </w:rPr>
      </w:pPr>
    </w:p>
    <w:p>
      <w:pPr>
        <w:spacing w:before="0"/>
        <w:ind w:left="475" w:right="0" w:firstLine="0"/>
        <w:jc w:val="both"/>
        <w:rPr>
          <w:i/>
          <w:sz w:val="24"/>
        </w:rPr>
      </w:pPr>
      <w:bookmarkStart w:name="Example 61:" w:id="164"/>
      <w:bookmarkEnd w:id="16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61:</w:t>
      </w:r>
    </w:p>
    <w:p>
      <w:pPr>
        <w:pStyle w:val="BodyText"/>
        <w:rPr>
          <w:i/>
        </w:rPr>
      </w:pPr>
    </w:p>
    <w:p>
      <w:pPr>
        <w:spacing w:before="0"/>
        <w:ind w:left="475" w:right="39" w:firstLine="0"/>
        <w:jc w:val="both"/>
        <w:rPr>
          <w:i/>
          <w:sz w:val="24"/>
        </w:rPr>
      </w:pPr>
      <w:r>
        <w:rPr>
          <w:i/>
          <w:color w:val="231F20"/>
          <w:sz w:val="24"/>
        </w:rPr>
        <w:t>A teacher who was terminated by a school</w:t>
      </w:r>
      <w:r>
        <w:rPr>
          <w:i/>
          <w:color w:val="231F20"/>
          <w:spacing w:val="40"/>
          <w:sz w:val="24"/>
        </w:rPr>
        <w:t> </w:t>
      </w:r>
      <w:r>
        <w:rPr>
          <w:i/>
          <w:color w:val="231F20"/>
          <w:sz w:val="24"/>
        </w:rPr>
        <w:t>board has brought an action for breach of contract against the board. The lower </w:t>
      </w:r>
      <w:r>
        <w:rPr>
          <w:i/>
          <w:color w:val="231F20"/>
          <w:sz w:val="24"/>
        </w:rPr>
        <w:t>court decided in favor of the teacher. The school board and its attorney may meet in closed session to determine</w:t>
      </w:r>
      <w:r>
        <w:rPr>
          <w:i/>
          <w:color w:val="231F20"/>
          <w:spacing w:val="-1"/>
          <w:sz w:val="24"/>
        </w:rPr>
        <w:t> </w:t>
      </w:r>
      <w:r>
        <w:rPr>
          <w:i/>
          <w:color w:val="231F20"/>
          <w:sz w:val="24"/>
        </w:rPr>
        <w:t>whether or not to appeal to a higher court.</w:t>
      </w:r>
    </w:p>
    <w:p>
      <w:pPr>
        <w:pStyle w:val="BodyText"/>
        <w:rPr>
          <w:i/>
        </w:rPr>
      </w:pPr>
    </w:p>
    <w:p>
      <w:pPr>
        <w:pStyle w:val="BodyText"/>
        <w:ind w:left="475"/>
      </w:pPr>
      <w:bookmarkStart w:name="Commentary" w:id="165"/>
      <w:bookmarkEnd w:id="165"/>
      <w:r>
        <w:rPr/>
      </w:r>
      <w:r>
        <w:rPr>
          <w:color w:val="231F20"/>
          <w:spacing w:val="-2"/>
          <w:u w:val="single" w:color="231F20"/>
        </w:rPr>
        <w:t>Commentary</w:t>
      </w:r>
    </w:p>
    <w:p>
      <w:pPr>
        <w:pStyle w:val="BodyText"/>
        <w:spacing w:before="9"/>
        <w:rPr>
          <w:sz w:val="23"/>
        </w:rPr>
      </w:pPr>
    </w:p>
    <w:p>
      <w:pPr>
        <w:pStyle w:val="BodyText"/>
        <w:ind w:left="475" w:right="38"/>
        <w:jc w:val="both"/>
      </w:pPr>
      <w:r>
        <w:rPr>
          <w:color w:val="231F20"/>
        </w:rPr>
        <w:t>This exception does not apply only when a public body is sued or is threatened with litigation. It also may</w:t>
      </w:r>
      <w:r>
        <w:rPr>
          <w:color w:val="231F20"/>
          <w:spacing w:val="-4"/>
        </w:rPr>
        <w:t> </w:t>
      </w:r>
      <w:r>
        <w:rPr>
          <w:color w:val="231F20"/>
        </w:rPr>
        <w:t>be used to close</w:t>
      </w:r>
      <w:r>
        <w:rPr>
          <w:color w:val="231F20"/>
          <w:spacing w:val="-1"/>
        </w:rPr>
        <w:t> </w:t>
      </w:r>
      <w:r>
        <w:rPr>
          <w:color w:val="231F20"/>
        </w:rPr>
        <w:t>a</w:t>
      </w:r>
      <w:r>
        <w:rPr>
          <w:color w:val="231F20"/>
          <w:spacing w:val="-1"/>
        </w:rPr>
        <w:t> </w:t>
      </w:r>
      <w:r>
        <w:rPr>
          <w:color w:val="231F20"/>
        </w:rPr>
        <w:t>meeting when the public body wants to consult with its attorney about a lawsuit the public body has initiated or is considering initiating against a </w:t>
      </w:r>
      <w:r>
        <w:rPr>
          <w:color w:val="231F20"/>
          <w:spacing w:val="-2"/>
        </w:rPr>
        <w:t>defendant.</w:t>
      </w:r>
    </w:p>
    <w:p>
      <w:pPr>
        <w:pStyle w:val="BodyText"/>
      </w:pPr>
    </w:p>
    <w:p>
      <w:pPr>
        <w:spacing w:before="1"/>
        <w:ind w:left="475" w:right="0" w:firstLine="0"/>
        <w:jc w:val="left"/>
        <w:rPr>
          <w:i/>
          <w:sz w:val="24"/>
        </w:rPr>
      </w:pPr>
      <w:bookmarkStart w:name="Example 62:" w:id="166"/>
      <w:bookmarkEnd w:id="16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62:</w:t>
      </w:r>
    </w:p>
    <w:p>
      <w:pPr>
        <w:pStyle w:val="BodyText"/>
        <w:rPr>
          <w:i/>
        </w:rPr>
      </w:pPr>
    </w:p>
    <w:p>
      <w:pPr>
        <w:spacing w:before="0"/>
        <w:ind w:left="475" w:right="38" w:firstLine="0"/>
        <w:jc w:val="both"/>
        <w:rPr>
          <w:i/>
          <w:sz w:val="24"/>
        </w:rPr>
      </w:pPr>
      <w:r>
        <w:rPr>
          <w:i/>
          <w:color w:val="231F20"/>
          <w:sz w:val="24"/>
        </w:rPr>
        <w:t>The result of a lawsuit filed by an individual</w:t>
      </w:r>
      <w:r>
        <w:rPr>
          <w:i/>
          <w:color w:val="231F20"/>
          <w:sz w:val="24"/>
        </w:rPr>
        <w:t> against another individual will substantially affect</w:t>
      </w:r>
      <w:r>
        <w:rPr>
          <w:i/>
          <w:color w:val="231F20"/>
          <w:spacing w:val="29"/>
          <w:sz w:val="24"/>
        </w:rPr>
        <w:t>  </w:t>
      </w:r>
      <w:r>
        <w:rPr>
          <w:i/>
          <w:color w:val="231F20"/>
          <w:sz w:val="24"/>
        </w:rPr>
        <w:t>a</w:t>
      </w:r>
      <w:r>
        <w:rPr>
          <w:i/>
          <w:color w:val="231F20"/>
          <w:spacing w:val="29"/>
          <w:sz w:val="24"/>
        </w:rPr>
        <w:t>  </w:t>
      </w:r>
      <w:r>
        <w:rPr>
          <w:i/>
          <w:color w:val="231F20"/>
          <w:sz w:val="24"/>
        </w:rPr>
        <w:t>licensing</w:t>
      </w:r>
      <w:r>
        <w:rPr>
          <w:i/>
          <w:color w:val="231F20"/>
          <w:spacing w:val="29"/>
          <w:sz w:val="24"/>
        </w:rPr>
        <w:t>  </w:t>
      </w:r>
      <w:r>
        <w:rPr>
          <w:i/>
          <w:color w:val="231F20"/>
          <w:sz w:val="24"/>
        </w:rPr>
        <w:t>board’s</w:t>
      </w:r>
      <w:r>
        <w:rPr>
          <w:i/>
          <w:color w:val="231F20"/>
          <w:spacing w:val="30"/>
          <w:sz w:val="24"/>
        </w:rPr>
        <w:t>  </w:t>
      </w:r>
      <w:r>
        <w:rPr>
          <w:i/>
          <w:color w:val="231F20"/>
          <w:sz w:val="24"/>
        </w:rPr>
        <w:t>ability</w:t>
      </w:r>
      <w:r>
        <w:rPr>
          <w:i/>
          <w:color w:val="231F20"/>
          <w:spacing w:val="29"/>
          <w:sz w:val="24"/>
        </w:rPr>
        <w:t>  </w:t>
      </w:r>
      <w:r>
        <w:rPr>
          <w:i/>
          <w:color w:val="231F20"/>
          <w:sz w:val="24"/>
        </w:rPr>
        <w:t>to</w:t>
      </w:r>
      <w:r>
        <w:rPr>
          <w:i/>
          <w:color w:val="231F20"/>
          <w:spacing w:val="29"/>
          <w:sz w:val="24"/>
        </w:rPr>
        <w:t>  </w:t>
      </w:r>
      <w:r>
        <w:rPr>
          <w:i/>
          <w:color w:val="231F20"/>
          <w:spacing w:val="-2"/>
          <w:sz w:val="24"/>
        </w:rPr>
        <w:t>apply</w:t>
      </w:r>
    </w:p>
    <w:p>
      <w:pPr>
        <w:spacing w:before="90"/>
        <w:ind w:left="475" w:right="598" w:firstLine="0"/>
        <w:jc w:val="both"/>
        <w:rPr>
          <w:i/>
          <w:sz w:val="24"/>
        </w:rPr>
      </w:pPr>
      <w:r>
        <w:rPr/>
        <w:br w:type="column"/>
      </w:r>
      <w:r>
        <w:rPr>
          <w:i/>
          <w:color w:val="231F20"/>
          <w:sz w:val="24"/>
        </w:rPr>
        <w:t>certain laws. The board,</w:t>
      </w:r>
      <w:r>
        <w:rPr>
          <w:i/>
          <w:color w:val="231F20"/>
          <w:spacing w:val="-1"/>
          <w:sz w:val="24"/>
        </w:rPr>
        <w:t> </w:t>
      </w:r>
      <w:r>
        <w:rPr>
          <w:i/>
          <w:color w:val="231F20"/>
          <w:sz w:val="24"/>
        </w:rPr>
        <w:t>although not a party to</w:t>
      </w:r>
      <w:r>
        <w:rPr>
          <w:i/>
          <w:color w:val="231F20"/>
          <w:sz w:val="24"/>
        </w:rPr>
        <w:t> that litigation, may meet in closed session with its attorney to discuss filing a brief as amicus curiae (friend of the court).</w:t>
      </w:r>
    </w:p>
    <w:p>
      <w:pPr>
        <w:pStyle w:val="BodyText"/>
        <w:ind w:left="475"/>
      </w:pPr>
      <w:r>
        <w:rPr>
          <w:color w:val="231F20"/>
          <w:spacing w:val="-2"/>
          <w:u w:val="single" w:color="231F20"/>
        </w:rPr>
        <w:t>Commentary</w:t>
      </w:r>
    </w:p>
    <w:p>
      <w:pPr>
        <w:pStyle w:val="BodyText"/>
        <w:spacing w:before="11"/>
        <w:rPr>
          <w:sz w:val="23"/>
        </w:rPr>
      </w:pPr>
    </w:p>
    <w:p>
      <w:pPr>
        <w:pStyle w:val="BodyText"/>
        <w:ind w:left="475" w:right="597"/>
        <w:jc w:val="both"/>
      </w:pPr>
      <w:r>
        <w:rPr>
          <w:color w:val="231F20"/>
        </w:rPr>
        <w:t>It is important to note that this exception allows a public body to rely on the attorney-client privilege to close a meeting only when the public</w:t>
      </w:r>
      <w:r>
        <w:rPr>
          <w:color w:val="231F20"/>
          <w:spacing w:val="-3"/>
        </w:rPr>
        <w:t> </w:t>
      </w:r>
      <w:r>
        <w:rPr>
          <w:color w:val="231F20"/>
        </w:rPr>
        <w:t>body</w:t>
      </w:r>
      <w:r>
        <w:rPr>
          <w:color w:val="231F20"/>
          <w:spacing w:val="-7"/>
        </w:rPr>
        <w:t> </w:t>
      </w:r>
      <w:r>
        <w:rPr>
          <w:color w:val="231F20"/>
        </w:rPr>
        <w:t>is</w:t>
      </w:r>
      <w:r>
        <w:rPr>
          <w:color w:val="231F20"/>
          <w:spacing w:val="-2"/>
        </w:rPr>
        <w:t> </w:t>
      </w:r>
      <w:r>
        <w:rPr>
          <w:color w:val="231F20"/>
        </w:rPr>
        <w:t>involved in</w:t>
      </w:r>
      <w:r>
        <w:rPr>
          <w:color w:val="231F20"/>
          <w:spacing w:val="-2"/>
        </w:rPr>
        <w:t> </w:t>
      </w:r>
      <w:r>
        <w:rPr>
          <w:color w:val="231F20"/>
        </w:rPr>
        <w:t>pending</w:t>
      </w:r>
      <w:r>
        <w:rPr>
          <w:color w:val="231F20"/>
          <w:spacing w:val="-2"/>
        </w:rPr>
        <w:t> </w:t>
      </w:r>
      <w:r>
        <w:rPr>
          <w:color w:val="231F20"/>
        </w:rPr>
        <w:t>or</w:t>
      </w:r>
      <w:r>
        <w:rPr>
          <w:color w:val="231F20"/>
          <w:spacing w:val="-3"/>
        </w:rPr>
        <w:t> </w:t>
      </w:r>
      <w:r>
        <w:rPr>
          <w:color w:val="231F20"/>
        </w:rPr>
        <w:t>threatened litigation. There is no exception allowing a public body to rely generally on the attorney- client privilege to close a meeting. Aside from discussions with its attorney that are otherwise excepted from the Act, the public body will either have to hold discussions with its attorney in an open meeting or rely on other means to protect its communications with its attorney</w:t>
      </w:r>
      <w:r>
        <w:rPr>
          <w:color w:val="231F20"/>
          <w:spacing w:val="-5"/>
        </w:rPr>
        <w:t> </w:t>
      </w:r>
      <w:r>
        <w:rPr>
          <w:color w:val="231F20"/>
        </w:rPr>
        <w:t>that do</w:t>
      </w:r>
      <w:r>
        <w:rPr>
          <w:color w:val="231F20"/>
          <w:spacing w:val="-2"/>
        </w:rPr>
        <w:t> </w:t>
      </w:r>
      <w:r>
        <w:rPr>
          <w:color w:val="231F20"/>
        </w:rPr>
        <w:t>not</w:t>
      </w:r>
      <w:r>
        <w:rPr>
          <w:color w:val="231F20"/>
          <w:spacing w:val="-2"/>
        </w:rPr>
        <w:t> </w:t>
      </w:r>
      <w:r>
        <w:rPr>
          <w:color w:val="231F20"/>
        </w:rPr>
        <w:t>violate</w:t>
      </w:r>
      <w:r>
        <w:rPr>
          <w:color w:val="231F20"/>
          <w:spacing w:val="-3"/>
        </w:rPr>
        <w:t> </w:t>
      </w:r>
      <w:r>
        <w:rPr>
          <w:color w:val="231F20"/>
        </w:rPr>
        <w:t>the</w:t>
      </w:r>
      <w:r>
        <w:rPr>
          <w:color w:val="231F20"/>
          <w:spacing w:val="-3"/>
        </w:rPr>
        <w:t> </w:t>
      </w:r>
      <w:r>
        <w:rPr>
          <w:color w:val="231F20"/>
        </w:rPr>
        <w:t>Act.</w:t>
      </w:r>
      <w:r>
        <w:rPr>
          <w:color w:val="231F20"/>
          <w:spacing w:val="-2"/>
        </w:rPr>
        <w:t> </w:t>
      </w:r>
      <w:r>
        <w:rPr>
          <w:color w:val="231F20"/>
        </w:rPr>
        <w:t>For</w:t>
      </w:r>
      <w:r>
        <w:rPr>
          <w:color w:val="231F20"/>
          <w:spacing w:val="-4"/>
        </w:rPr>
        <w:t> </w:t>
      </w:r>
      <w:r>
        <w:rPr>
          <w:color w:val="231F20"/>
        </w:rPr>
        <w:t>example,</w:t>
      </w:r>
      <w:r>
        <w:rPr>
          <w:color w:val="231F20"/>
          <w:spacing w:val="-3"/>
        </w:rPr>
        <w:t> </w:t>
      </w:r>
      <w:r>
        <w:rPr>
          <w:color w:val="231F20"/>
        </w:rPr>
        <w:t>the</w:t>
      </w:r>
      <w:r>
        <w:rPr>
          <w:color w:val="231F20"/>
          <w:spacing w:val="-4"/>
        </w:rPr>
        <w:t> </w:t>
      </w:r>
      <w:r>
        <w:rPr>
          <w:color w:val="231F20"/>
        </w:rPr>
        <w:t>attorney might</w:t>
      </w:r>
      <w:r>
        <w:rPr>
          <w:color w:val="231F20"/>
        </w:rPr>
        <w:t> communicate</w:t>
      </w:r>
      <w:r>
        <w:rPr>
          <w:color w:val="231F20"/>
        </w:rPr>
        <w:t> with each member of the public body individually through one-on-one conversations</w:t>
      </w:r>
      <w:r>
        <w:rPr>
          <w:color w:val="231F20"/>
          <w:spacing w:val="-3"/>
        </w:rPr>
        <w:t> </w:t>
      </w:r>
      <w:r>
        <w:rPr>
          <w:color w:val="231F20"/>
        </w:rPr>
        <w:t>or</w:t>
      </w:r>
      <w:r>
        <w:rPr>
          <w:color w:val="231F20"/>
          <w:spacing w:val="-4"/>
        </w:rPr>
        <w:t> </w:t>
      </w:r>
      <w:r>
        <w:rPr>
          <w:color w:val="231F20"/>
        </w:rPr>
        <w:t>letters.</w:t>
      </w:r>
      <w:r>
        <w:rPr>
          <w:color w:val="231F20"/>
          <w:spacing w:val="-1"/>
        </w:rPr>
        <w:t> </w:t>
      </w:r>
      <w:r>
        <w:rPr>
          <w:color w:val="231F20"/>
        </w:rPr>
        <w:t>Keep</w:t>
      </w:r>
      <w:r>
        <w:rPr>
          <w:color w:val="231F20"/>
          <w:spacing w:val="-3"/>
        </w:rPr>
        <w:t> </w:t>
      </w:r>
      <w:r>
        <w:rPr>
          <w:color w:val="231F20"/>
        </w:rPr>
        <w:t>in</w:t>
      </w:r>
      <w:r>
        <w:rPr>
          <w:color w:val="231F20"/>
          <w:spacing w:val="-1"/>
        </w:rPr>
        <w:t> </w:t>
      </w:r>
      <w:r>
        <w:rPr>
          <w:color w:val="231F20"/>
        </w:rPr>
        <w:t>mind,</w:t>
      </w:r>
      <w:r>
        <w:rPr>
          <w:color w:val="231F20"/>
          <w:spacing w:val="-3"/>
        </w:rPr>
        <w:t> </w:t>
      </w:r>
      <w:r>
        <w:rPr>
          <w:color w:val="231F20"/>
        </w:rPr>
        <w:t>however, that if the attorney’s advice is discussed among</w:t>
      </w:r>
      <w:r>
        <w:rPr>
          <w:color w:val="231F20"/>
          <w:spacing w:val="40"/>
        </w:rPr>
        <w:t> </w:t>
      </w:r>
      <w:r>
        <w:rPr>
          <w:color w:val="231F20"/>
        </w:rPr>
        <w:t>a quorum of the public body’s members--in person, by e-mail, by telephone or otherwise-- the discussion must be conducted in accordance with the Act, including the requirements for a public meeting, unless it falls within one of the Act’s exceptions.</w:t>
      </w:r>
    </w:p>
    <w:p>
      <w:pPr>
        <w:pStyle w:val="BodyText"/>
        <w:spacing w:before="1"/>
      </w:pPr>
    </w:p>
    <w:p>
      <w:pPr>
        <w:spacing w:before="0"/>
        <w:ind w:left="475" w:right="0" w:firstLine="0"/>
        <w:jc w:val="left"/>
        <w:rPr>
          <w:i/>
          <w:sz w:val="24"/>
        </w:rPr>
      </w:pPr>
      <w:bookmarkStart w:name="Example 63:" w:id="167"/>
      <w:bookmarkEnd w:id="16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63:</w:t>
      </w:r>
    </w:p>
    <w:p>
      <w:pPr>
        <w:pStyle w:val="BodyText"/>
        <w:rPr>
          <w:i/>
        </w:rPr>
      </w:pPr>
    </w:p>
    <w:p>
      <w:pPr>
        <w:spacing w:line="240" w:lineRule="auto" w:before="0"/>
        <w:ind w:left="475" w:right="597" w:firstLine="0"/>
        <w:jc w:val="both"/>
        <w:rPr>
          <w:i/>
          <w:sz w:val="24"/>
        </w:rPr>
      </w:pPr>
      <w:r>
        <w:rPr>
          <w:i/>
          <w:color w:val="231F20"/>
          <w:sz w:val="24"/>
        </w:rPr>
        <w:t>A five-member state commission wants to make</w:t>
      </w:r>
      <w:r>
        <w:rPr>
          <w:i/>
          <w:color w:val="231F20"/>
          <w:sz w:val="24"/>
        </w:rPr>
        <w:t> a gift of public money to a worthy charity. The commission’s attorney is concerned that the gift may violate the state constitution. She sends a letter to each individual commissioner voicing her concerns. The topic of the gift is placed on the agenda for the next commission meeting.</w:t>
      </w:r>
      <w:r>
        <w:rPr>
          <w:i/>
          <w:color w:val="231F20"/>
          <w:spacing w:val="40"/>
          <w:sz w:val="24"/>
        </w:rPr>
        <w:t> </w:t>
      </w:r>
      <w:r>
        <w:rPr>
          <w:i/>
          <w:color w:val="231F20"/>
          <w:sz w:val="24"/>
        </w:rPr>
        <w:t>The</w:t>
      </w:r>
      <w:r>
        <w:rPr>
          <w:i/>
          <w:color w:val="231F20"/>
          <w:spacing w:val="-1"/>
          <w:sz w:val="24"/>
        </w:rPr>
        <w:t> </w:t>
      </w:r>
      <w:r>
        <w:rPr>
          <w:i/>
          <w:color w:val="231F20"/>
          <w:sz w:val="24"/>
        </w:rPr>
        <w:t>commissioners’</w:t>
      </w:r>
      <w:r>
        <w:rPr>
          <w:i/>
          <w:color w:val="231F20"/>
          <w:spacing w:val="-1"/>
          <w:sz w:val="24"/>
        </w:rPr>
        <w:t> </w:t>
      </w:r>
      <w:r>
        <w:rPr>
          <w:i/>
          <w:color w:val="231F20"/>
          <w:sz w:val="24"/>
        </w:rPr>
        <w:t>discussion of the</w:t>
      </w:r>
      <w:r>
        <w:rPr>
          <w:i/>
          <w:color w:val="231F20"/>
          <w:spacing w:val="-1"/>
          <w:sz w:val="24"/>
        </w:rPr>
        <w:t> </w:t>
      </w:r>
      <w:r>
        <w:rPr>
          <w:i/>
          <w:color w:val="231F20"/>
          <w:sz w:val="24"/>
        </w:rPr>
        <w:t>gift at</w:t>
      </w:r>
      <w:r>
        <w:rPr>
          <w:i/>
          <w:color w:val="231F20"/>
          <w:spacing w:val="-2"/>
          <w:sz w:val="24"/>
        </w:rPr>
        <w:t> </w:t>
      </w:r>
      <w:r>
        <w:rPr>
          <w:i/>
          <w:color w:val="231F20"/>
          <w:sz w:val="24"/>
        </w:rPr>
        <w:t>that meeting must occur in public, even if they discuss the attorney’s advice regarding the gift, because the topic is not covered by one of </w:t>
      </w:r>
      <w:r>
        <w:rPr>
          <w:i/>
          <w:color w:val="231F20"/>
          <w:sz w:val="24"/>
        </w:rPr>
        <w:t>the Act’s exceptions.</w:t>
      </w:r>
    </w:p>
    <w:p>
      <w:pPr>
        <w:pStyle w:val="BodyText"/>
        <w:spacing w:before="9"/>
        <w:rPr>
          <w:i/>
          <w:sz w:val="23"/>
        </w:rPr>
      </w:pPr>
    </w:p>
    <w:p>
      <w:pPr>
        <w:pStyle w:val="ListParagraph"/>
        <w:numPr>
          <w:ilvl w:val="0"/>
          <w:numId w:val="11"/>
        </w:numPr>
        <w:tabs>
          <w:tab w:pos="716" w:val="left" w:leader="none"/>
        </w:tabs>
        <w:spacing w:line="240" w:lineRule="auto" w:before="0" w:after="0"/>
        <w:ind w:left="715" w:right="0" w:hanging="241"/>
        <w:jc w:val="left"/>
        <w:rPr>
          <w:sz w:val="24"/>
        </w:rPr>
      </w:pPr>
      <w:bookmarkStart w:name="8. Real Property and Water Rights" w:id="168"/>
      <w:bookmarkEnd w:id="168"/>
      <w:r>
        <w:rPr>
          <w:color w:val="231F20"/>
          <w:sz w:val="24"/>
          <w:u w:val="single" w:color="231F20"/>
        </w:rPr>
        <w:t>R</w:t>
      </w:r>
      <w:r>
        <w:rPr>
          <w:color w:val="231F20"/>
          <w:sz w:val="24"/>
          <w:u w:val="single" w:color="231F20"/>
        </w:rPr>
        <w:t>eal</w:t>
      </w:r>
      <w:r>
        <w:rPr>
          <w:color w:val="231F20"/>
          <w:spacing w:val="-5"/>
          <w:sz w:val="24"/>
          <w:u w:val="single" w:color="231F20"/>
        </w:rPr>
        <w:t> </w:t>
      </w:r>
      <w:r>
        <w:rPr>
          <w:color w:val="231F20"/>
          <w:sz w:val="24"/>
          <w:u w:val="single" w:color="231F20"/>
        </w:rPr>
        <w:t>Property</w:t>
      </w:r>
      <w:r>
        <w:rPr>
          <w:color w:val="231F20"/>
          <w:spacing w:val="-10"/>
          <w:sz w:val="24"/>
          <w:u w:val="single" w:color="231F20"/>
        </w:rPr>
        <w:t> </w:t>
      </w:r>
      <w:r>
        <w:rPr>
          <w:color w:val="231F20"/>
          <w:sz w:val="24"/>
          <w:u w:val="single" w:color="231F20"/>
        </w:rPr>
        <w:t>and</w:t>
      </w:r>
      <w:r>
        <w:rPr>
          <w:color w:val="231F20"/>
          <w:spacing w:val="-5"/>
          <w:sz w:val="24"/>
          <w:u w:val="single" w:color="231F20"/>
        </w:rPr>
        <w:t> </w:t>
      </w:r>
      <w:r>
        <w:rPr>
          <w:color w:val="231F20"/>
          <w:sz w:val="24"/>
          <w:u w:val="single" w:color="231F20"/>
        </w:rPr>
        <w:t>Water</w:t>
      </w:r>
      <w:r>
        <w:rPr>
          <w:color w:val="231F20"/>
          <w:spacing w:val="-6"/>
          <w:sz w:val="24"/>
          <w:u w:val="single" w:color="231F20"/>
        </w:rPr>
        <w:t> </w:t>
      </w:r>
      <w:r>
        <w:rPr>
          <w:color w:val="231F20"/>
          <w:spacing w:val="-2"/>
          <w:sz w:val="24"/>
          <w:u w:val="single" w:color="231F20"/>
        </w:rPr>
        <w:t>Rights</w:t>
      </w:r>
    </w:p>
    <w:p>
      <w:pPr>
        <w:pStyle w:val="BodyText"/>
        <w:spacing w:before="5"/>
      </w:pPr>
    </w:p>
    <w:p>
      <w:pPr>
        <w:spacing w:before="0"/>
        <w:ind w:left="475" w:right="0" w:firstLine="0"/>
        <w:jc w:val="left"/>
        <w:rPr>
          <w:b/>
          <w:sz w:val="24"/>
        </w:rPr>
      </w:pPr>
      <w:bookmarkStart w:name="The Law" w:id="169"/>
      <w:bookmarkEnd w:id="169"/>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spacing w:after="0"/>
        <w:jc w:val="left"/>
        <w:rPr>
          <w:sz w:val="24"/>
        </w:rPr>
        <w:sectPr>
          <w:type w:val="continuous"/>
          <w:pgSz w:w="12240" w:h="15840"/>
          <w:pgMar w:header="660" w:footer="484" w:top="480" w:bottom="280" w:left="360" w:right="240"/>
          <w:cols w:num="2" w:equalWidth="0">
            <w:col w:w="5199" w:space="684"/>
            <w:col w:w="5757"/>
          </w:cols>
        </w:sectPr>
      </w:pPr>
    </w:p>
    <w:p>
      <w:pPr>
        <w:pStyle w:val="BodyText"/>
        <w:spacing w:before="8"/>
        <w:rPr>
          <w:b/>
          <w:sz w:val="15"/>
        </w:rPr>
      </w:pPr>
    </w:p>
    <w:p>
      <w:pPr>
        <w:spacing w:after="0"/>
        <w:rPr>
          <w:sz w:val="15"/>
        </w:rPr>
        <w:sectPr>
          <w:pgSz w:w="12240" w:h="15840"/>
          <w:pgMar w:header="660" w:footer="484" w:top="960" w:bottom="900" w:left="360" w:right="240"/>
        </w:sectPr>
      </w:pPr>
    </w:p>
    <w:p>
      <w:pPr>
        <w:spacing w:before="94"/>
        <w:ind w:left="475" w:right="40" w:firstLine="0"/>
        <w:jc w:val="both"/>
        <w:rPr>
          <w:b/>
          <w:sz w:val="24"/>
        </w:rPr>
      </w:pPr>
      <w:r>
        <w:rPr>
          <w:b/>
          <w:color w:val="231F20"/>
          <w:sz w:val="24"/>
        </w:rPr>
        <w:t>Meetings for the discussion of the purchase, acquisition or disposal of real property or water rights by the public body.</w:t>
      </w:r>
    </w:p>
    <w:p>
      <w:pPr>
        <w:pStyle w:val="BodyText"/>
        <w:spacing w:before="7"/>
        <w:rPr>
          <w:b/>
          <w:sz w:val="23"/>
        </w:rPr>
      </w:pPr>
    </w:p>
    <w:p>
      <w:pPr>
        <w:pStyle w:val="BodyText"/>
        <w:ind w:left="475"/>
      </w:pPr>
      <w:bookmarkStart w:name="Commentary" w:id="170"/>
      <w:bookmarkEnd w:id="170"/>
      <w:r>
        <w:rPr/>
      </w:r>
      <w:r>
        <w:rPr>
          <w:color w:val="231F20"/>
          <w:spacing w:val="-2"/>
          <w:u w:val="single" w:color="231F20"/>
        </w:rPr>
        <w:t>Commentary</w:t>
      </w:r>
    </w:p>
    <w:p>
      <w:pPr>
        <w:pStyle w:val="BodyText"/>
      </w:pPr>
    </w:p>
    <w:p>
      <w:pPr>
        <w:pStyle w:val="BodyText"/>
        <w:ind w:left="475" w:right="40"/>
        <w:jc w:val="both"/>
      </w:pPr>
      <w:r>
        <w:rPr>
          <w:color w:val="231F20"/>
        </w:rPr>
        <w:t>This exception is intended to enable a public body to consider the purchase, acquisition or disposal of real property or water rights without the risk of alerting those who could take action that would result in lost opportunities or greater costs to the public body. The exception applies only to discussions of the proposed transactions it covers. Action on the purchase, acquisition or disposal of real property or water rights by the public</w:t>
      </w:r>
      <w:r>
        <w:rPr>
          <w:color w:val="231F20"/>
          <w:spacing w:val="-1"/>
        </w:rPr>
        <w:t> </w:t>
      </w:r>
      <w:r>
        <w:rPr>
          <w:color w:val="231F20"/>
        </w:rPr>
        <w:t>body</w:t>
      </w:r>
      <w:r>
        <w:rPr>
          <w:color w:val="231F20"/>
          <w:spacing w:val="-4"/>
        </w:rPr>
        <w:t> </w:t>
      </w:r>
      <w:r>
        <w:rPr>
          <w:color w:val="231F20"/>
        </w:rPr>
        <w:t>must take</w:t>
      </w:r>
      <w:r>
        <w:rPr>
          <w:color w:val="231F20"/>
          <w:spacing w:val="-1"/>
        </w:rPr>
        <w:t> </w:t>
      </w:r>
      <w:r>
        <w:rPr>
          <w:color w:val="231F20"/>
        </w:rPr>
        <w:t>place</w:t>
      </w:r>
      <w:r>
        <w:rPr>
          <w:color w:val="231F20"/>
          <w:spacing w:val="-1"/>
        </w:rPr>
        <w:t> </w:t>
      </w:r>
      <w:r>
        <w:rPr>
          <w:color w:val="231F20"/>
        </w:rPr>
        <w:t>in an open meeting, as required by Section 10-15-1(B).</w:t>
      </w:r>
    </w:p>
    <w:p>
      <w:pPr>
        <w:pStyle w:val="BodyText"/>
      </w:pPr>
    </w:p>
    <w:p>
      <w:pPr>
        <w:spacing w:before="0"/>
        <w:ind w:left="475" w:right="0" w:firstLine="0"/>
        <w:jc w:val="left"/>
        <w:rPr>
          <w:i/>
          <w:sz w:val="24"/>
        </w:rPr>
      </w:pPr>
      <w:bookmarkStart w:name="Example 64:" w:id="171"/>
      <w:bookmarkEnd w:id="17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64:</w:t>
      </w:r>
    </w:p>
    <w:p>
      <w:pPr>
        <w:pStyle w:val="BodyText"/>
        <w:rPr>
          <w:i/>
        </w:rPr>
      </w:pPr>
    </w:p>
    <w:p>
      <w:pPr>
        <w:spacing w:before="1"/>
        <w:ind w:left="475" w:right="38" w:firstLine="0"/>
        <w:jc w:val="both"/>
        <w:rPr>
          <w:i/>
          <w:sz w:val="24"/>
        </w:rPr>
      </w:pPr>
      <w:r>
        <w:rPr>
          <w:i/>
          <w:color w:val="231F20"/>
          <w:sz w:val="24"/>
        </w:rPr>
        <w:t>A board of county commissioners is considering</w:t>
      </w:r>
      <w:r>
        <w:rPr>
          <w:i/>
          <w:color w:val="231F20"/>
          <w:sz w:val="24"/>
        </w:rPr>
        <w:t> acquiring</w:t>
      </w:r>
      <w:r>
        <w:rPr>
          <w:i/>
          <w:color w:val="231F20"/>
          <w:spacing w:val="-4"/>
          <w:sz w:val="24"/>
        </w:rPr>
        <w:t> </w:t>
      </w:r>
      <w:r>
        <w:rPr>
          <w:i/>
          <w:color w:val="231F20"/>
          <w:sz w:val="24"/>
        </w:rPr>
        <w:t>land</w:t>
      </w:r>
      <w:r>
        <w:rPr>
          <w:i/>
          <w:color w:val="231F20"/>
          <w:spacing w:val="-4"/>
          <w:sz w:val="24"/>
        </w:rPr>
        <w:t> </w:t>
      </w:r>
      <w:r>
        <w:rPr>
          <w:i/>
          <w:color w:val="231F20"/>
          <w:sz w:val="24"/>
        </w:rPr>
        <w:t>for</w:t>
      </w:r>
      <w:r>
        <w:rPr>
          <w:i/>
          <w:color w:val="231F20"/>
          <w:spacing w:val="-4"/>
          <w:sz w:val="24"/>
        </w:rPr>
        <w:t> </w:t>
      </w:r>
      <w:r>
        <w:rPr>
          <w:i/>
          <w:color w:val="231F20"/>
          <w:sz w:val="24"/>
        </w:rPr>
        <w:t>a</w:t>
      </w:r>
      <w:r>
        <w:rPr>
          <w:i/>
          <w:color w:val="231F20"/>
          <w:spacing w:val="-4"/>
          <w:sz w:val="24"/>
        </w:rPr>
        <w:t> </w:t>
      </w:r>
      <w:r>
        <w:rPr>
          <w:i/>
          <w:color w:val="231F20"/>
          <w:sz w:val="24"/>
        </w:rPr>
        <w:t>playground</w:t>
      </w:r>
      <w:r>
        <w:rPr>
          <w:i/>
          <w:color w:val="231F20"/>
          <w:spacing w:val="-4"/>
          <w:sz w:val="24"/>
        </w:rPr>
        <w:t> </w:t>
      </w:r>
      <w:r>
        <w:rPr>
          <w:i/>
          <w:color w:val="231F20"/>
          <w:sz w:val="24"/>
        </w:rPr>
        <w:t>and</w:t>
      </w:r>
      <w:r>
        <w:rPr>
          <w:i/>
          <w:color w:val="231F20"/>
          <w:spacing w:val="-4"/>
          <w:sz w:val="24"/>
        </w:rPr>
        <w:t> </w:t>
      </w:r>
      <w:r>
        <w:rPr>
          <w:i/>
          <w:color w:val="231F20"/>
          <w:sz w:val="24"/>
        </w:rPr>
        <w:t>purchasing playground equipment. The discussion concerning the acquisition of the land may be conducted in closed session. The discussion concerning the purchase of the equipment may not be held in closed session because the equipment is not “real property.”</w:t>
      </w:r>
    </w:p>
    <w:p>
      <w:pPr>
        <w:pStyle w:val="BodyText"/>
        <w:rPr>
          <w:i/>
        </w:rPr>
      </w:pPr>
    </w:p>
    <w:p>
      <w:pPr>
        <w:spacing w:before="0"/>
        <w:ind w:left="475" w:right="0" w:firstLine="0"/>
        <w:jc w:val="left"/>
        <w:rPr>
          <w:i/>
          <w:sz w:val="24"/>
        </w:rPr>
      </w:pPr>
      <w:bookmarkStart w:name="Example 65:" w:id="172"/>
      <w:bookmarkEnd w:id="17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65:</w:t>
      </w:r>
    </w:p>
    <w:p>
      <w:pPr>
        <w:pStyle w:val="BodyText"/>
        <w:rPr>
          <w:i/>
        </w:rPr>
      </w:pPr>
    </w:p>
    <w:p>
      <w:pPr>
        <w:spacing w:line="240" w:lineRule="auto" w:before="0"/>
        <w:ind w:left="475" w:right="39" w:firstLine="0"/>
        <w:jc w:val="both"/>
        <w:rPr>
          <w:i/>
          <w:sz w:val="24"/>
        </w:rPr>
      </w:pPr>
      <w:r>
        <w:rPr>
          <w:i/>
          <w:color w:val="231F20"/>
          <w:sz w:val="24"/>
        </w:rPr>
        <w:t>A city council is considering leasing some of its</w:t>
      </w:r>
      <w:r>
        <w:rPr>
          <w:i/>
          <w:color w:val="231F20"/>
          <w:sz w:val="24"/>
        </w:rPr>
        <w:t> water rights to another entity. The lease constitutes the “disposal” of water rights and discussion of the transaction may be conducted in closed session.</w:t>
      </w:r>
    </w:p>
    <w:p>
      <w:pPr>
        <w:pStyle w:val="BodyText"/>
        <w:spacing w:before="9"/>
        <w:rPr>
          <w:i/>
          <w:sz w:val="23"/>
        </w:rPr>
      </w:pPr>
    </w:p>
    <w:p>
      <w:pPr>
        <w:spacing w:before="0"/>
        <w:ind w:left="475" w:right="0" w:firstLine="0"/>
        <w:jc w:val="left"/>
        <w:rPr>
          <w:i/>
          <w:sz w:val="24"/>
        </w:rPr>
      </w:pPr>
      <w:bookmarkStart w:name="Example 66:" w:id="173"/>
      <w:bookmarkEnd w:id="17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66:</w:t>
      </w:r>
    </w:p>
    <w:p>
      <w:pPr>
        <w:pStyle w:val="BodyText"/>
        <w:rPr>
          <w:i/>
        </w:rPr>
      </w:pPr>
    </w:p>
    <w:p>
      <w:pPr>
        <w:spacing w:before="0"/>
        <w:ind w:left="475" w:right="38" w:firstLine="0"/>
        <w:jc w:val="both"/>
        <w:rPr>
          <w:i/>
          <w:sz w:val="24"/>
        </w:rPr>
      </w:pPr>
      <w:r>
        <w:rPr>
          <w:i/>
          <w:color w:val="231F20"/>
          <w:sz w:val="24"/>
        </w:rPr>
        <w:t>A state hospital is considering the purchase of</w:t>
      </w:r>
      <w:r>
        <w:rPr>
          <w:i/>
          <w:color w:val="231F20"/>
          <w:sz w:val="24"/>
        </w:rPr>
        <w:t> an industrial laundry business. If the</w:t>
      </w:r>
      <w:r>
        <w:rPr>
          <w:i/>
          <w:color w:val="231F20"/>
          <w:spacing w:val="40"/>
          <w:sz w:val="24"/>
        </w:rPr>
        <w:t> </w:t>
      </w:r>
      <w:r>
        <w:rPr>
          <w:i/>
          <w:color w:val="231F20"/>
          <w:sz w:val="24"/>
        </w:rPr>
        <w:t>transaction involves the acquisition of real estate along with the business, the hospital board</w:t>
      </w:r>
      <w:r>
        <w:rPr>
          <w:i/>
          <w:color w:val="231F20"/>
          <w:spacing w:val="-5"/>
          <w:sz w:val="24"/>
        </w:rPr>
        <w:t> </w:t>
      </w:r>
      <w:r>
        <w:rPr>
          <w:i/>
          <w:color w:val="231F20"/>
          <w:sz w:val="24"/>
        </w:rPr>
        <w:t>may</w:t>
      </w:r>
      <w:r>
        <w:rPr>
          <w:i/>
          <w:color w:val="231F20"/>
          <w:spacing w:val="-5"/>
          <w:sz w:val="24"/>
        </w:rPr>
        <w:t> </w:t>
      </w:r>
      <w:r>
        <w:rPr>
          <w:i/>
          <w:color w:val="231F20"/>
          <w:sz w:val="24"/>
        </w:rPr>
        <w:t>discuss</w:t>
      </w:r>
      <w:r>
        <w:rPr>
          <w:i/>
          <w:color w:val="231F20"/>
          <w:spacing w:val="-5"/>
          <w:sz w:val="24"/>
        </w:rPr>
        <w:t> </w:t>
      </w:r>
      <w:r>
        <w:rPr>
          <w:i/>
          <w:color w:val="231F20"/>
          <w:sz w:val="24"/>
        </w:rPr>
        <w:t>that</w:t>
      </w:r>
      <w:r>
        <w:rPr>
          <w:i/>
          <w:color w:val="231F20"/>
          <w:spacing w:val="-5"/>
          <w:sz w:val="24"/>
        </w:rPr>
        <w:t> </w:t>
      </w:r>
      <w:r>
        <w:rPr>
          <w:i/>
          <w:color w:val="231F20"/>
          <w:sz w:val="24"/>
        </w:rPr>
        <w:t>part</w:t>
      </w:r>
      <w:r>
        <w:rPr>
          <w:i/>
          <w:color w:val="231F20"/>
          <w:spacing w:val="-5"/>
          <w:sz w:val="24"/>
        </w:rPr>
        <w:t> </w:t>
      </w:r>
      <w:r>
        <w:rPr>
          <w:i/>
          <w:color w:val="231F20"/>
          <w:sz w:val="24"/>
        </w:rPr>
        <w:t>of</w:t>
      </w:r>
      <w:r>
        <w:rPr>
          <w:i/>
          <w:color w:val="231F20"/>
          <w:spacing w:val="-5"/>
          <w:sz w:val="24"/>
        </w:rPr>
        <w:t> </w:t>
      </w:r>
      <w:r>
        <w:rPr>
          <w:i/>
          <w:color w:val="231F20"/>
          <w:sz w:val="24"/>
        </w:rPr>
        <w:t>the</w:t>
      </w:r>
      <w:r>
        <w:rPr>
          <w:i/>
          <w:color w:val="231F20"/>
          <w:spacing w:val="-5"/>
          <w:sz w:val="24"/>
        </w:rPr>
        <w:t> </w:t>
      </w:r>
      <w:r>
        <w:rPr>
          <w:i/>
          <w:color w:val="231F20"/>
          <w:sz w:val="24"/>
        </w:rPr>
        <w:t>transaction</w:t>
      </w:r>
      <w:r>
        <w:rPr>
          <w:i/>
          <w:color w:val="231F20"/>
          <w:spacing w:val="-5"/>
          <w:sz w:val="24"/>
        </w:rPr>
        <w:t> </w:t>
      </w:r>
      <w:r>
        <w:rPr>
          <w:i/>
          <w:color w:val="231F20"/>
          <w:sz w:val="24"/>
        </w:rPr>
        <w:t>in a</w:t>
      </w:r>
      <w:r>
        <w:rPr>
          <w:i/>
          <w:color w:val="231F20"/>
          <w:spacing w:val="-2"/>
          <w:sz w:val="24"/>
        </w:rPr>
        <w:t> </w:t>
      </w:r>
      <w:r>
        <w:rPr>
          <w:i/>
          <w:color w:val="231F20"/>
          <w:sz w:val="24"/>
        </w:rPr>
        <w:t>private</w:t>
      </w:r>
      <w:r>
        <w:rPr>
          <w:i/>
          <w:color w:val="231F20"/>
          <w:spacing w:val="-3"/>
          <w:sz w:val="24"/>
        </w:rPr>
        <w:t> </w:t>
      </w:r>
      <w:r>
        <w:rPr>
          <w:i/>
          <w:color w:val="231F20"/>
          <w:sz w:val="24"/>
        </w:rPr>
        <w:t>meeting.</w:t>
      </w:r>
      <w:r>
        <w:rPr>
          <w:i/>
          <w:color w:val="231F20"/>
          <w:spacing w:val="-2"/>
          <w:sz w:val="24"/>
        </w:rPr>
        <w:t> </w:t>
      </w:r>
      <w:r>
        <w:rPr>
          <w:i/>
          <w:color w:val="231F20"/>
          <w:sz w:val="24"/>
        </w:rPr>
        <w:t>However,</w:t>
      </w:r>
      <w:r>
        <w:rPr>
          <w:i/>
          <w:color w:val="231F20"/>
          <w:spacing w:val="-2"/>
          <w:sz w:val="24"/>
        </w:rPr>
        <w:t> </w:t>
      </w:r>
      <w:r>
        <w:rPr>
          <w:i/>
          <w:color w:val="231F20"/>
          <w:sz w:val="24"/>
        </w:rPr>
        <w:t>other</w:t>
      </w:r>
      <w:r>
        <w:rPr>
          <w:i/>
          <w:color w:val="231F20"/>
          <w:spacing w:val="-2"/>
          <w:sz w:val="24"/>
        </w:rPr>
        <w:t> </w:t>
      </w:r>
      <w:r>
        <w:rPr>
          <w:i/>
          <w:color w:val="231F20"/>
          <w:sz w:val="24"/>
        </w:rPr>
        <w:t>aspects</w:t>
      </w:r>
      <w:r>
        <w:rPr>
          <w:i/>
          <w:color w:val="231F20"/>
          <w:spacing w:val="-2"/>
          <w:sz w:val="24"/>
        </w:rPr>
        <w:t> </w:t>
      </w:r>
      <w:r>
        <w:rPr>
          <w:i/>
          <w:color w:val="231F20"/>
          <w:sz w:val="24"/>
        </w:rPr>
        <w:t>of</w:t>
      </w:r>
      <w:r>
        <w:rPr>
          <w:i/>
          <w:color w:val="231F20"/>
          <w:spacing w:val="-2"/>
          <w:sz w:val="24"/>
        </w:rPr>
        <w:t> </w:t>
      </w:r>
      <w:r>
        <w:rPr>
          <w:i/>
          <w:color w:val="231F20"/>
          <w:sz w:val="24"/>
        </w:rPr>
        <w:t>the purchase, such as the washing machines, the business’</w:t>
      </w:r>
      <w:r>
        <w:rPr>
          <w:i/>
          <w:color w:val="231F20"/>
          <w:sz w:val="24"/>
        </w:rPr>
        <w:t> goodwill,</w:t>
      </w:r>
      <w:r>
        <w:rPr>
          <w:i/>
          <w:color w:val="231F20"/>
          <w:sz w:val="24"/>
        </w:rPr>
        <w:t> and</w:t>
      </w:r>
      <w:r>
        <w:rPr>
          <w:i/>
          <w:color w:val="231F20"/>
          <w:sz w:val="24"/>
        </w:rPr>
        <w:t> the</w:t>
      </w:r>
      <w:r>
        <w:rPr>
          <w:i/>
          <w:color w:val="231F20"/>
          <w:sz w:val="24"/>
        </w:rPr>
        <w:t> operation of the business are not real estate and would not be covered</w:t>
      </w:r>
      <w:r>
        <w:rPr>
          <w:i/>
          <w:color w:val="231F20"/>
          <w:spacing w:val="37"/>
          <w:sz w:val="24"/>
        </w:rPr>
        <w:t> </w:t>
      </w:r>
      <w:r>
        <w:rPr>
          <w:i/>
          <w:color w:val="231F20"/>
          <w:sz w:val="24"/>
        </w:rPr>
        <w:t>by</w:t>
      </w:r>
      <w:r>
        <w:rPr>
          <w:i/>
          <w:color w:val="231F20"/>
          <w:spacing w:val="34"/>
          <w:sz w:val="24"/>
        </w:rPr>
        <w:t> </w:t>
      </w:r>
      <w:r>
        <w:rPr>
          <w:i/>
          <w:color w:val="231F20"/>
          <w:sz w:val="24"/>
        </w:rPr>
        <w:t>this</w:t>
      </w:r>
      <w:r>
        <w:rPr>
          <w:i/>
          <w:color w:val="231F20"/>
          <w:spacing w:val="38"/>
          <w:sz w:val="24"/>
        </w:rPr>
        <w:t> </w:t>
      </w:r>
      <w:r>
        <w:rPr>
          <w:i/>
          <w:color w:val="231F20"/>
          <w:sz w:val="24"/>
        </w:rPr>
        <w:t>exception.</w:t>
      </w:r>
      <w:r>
        <w:rPr>
          <w:i/>
          <w:color w:val="231F20"/>
          <w:spacing w:val="35"/>
          <w:sz w:val="24"/>
        </w:rPr>
        <w:t> </w:t>
      </w:r>
      <w:r>
        <w:rPr>
          <w:i/>
          <w:color w:val="231F20"/>
          <w:sz w:val="24"/>
        </w:rPr>
        <w:t>These</w:t>
      </w:r>
      <w:r>
        <w:rPr>
          <w:i/>
          <w:color w:val="231F20"/>
          <w:spacing w:val="34"/>
          <w:sz w:val="24"/>
        </w:rPr>
        <w:t> </w:t>
      </w:r>
      <w:r>
        <w:rPr>
          <w:i/>
          <w:color w:val="231F20"/>
          <w:sz w:val="24"/>
        </w:rPr>
        <w:t>other</w:t>
      </w:r>
      <w:r>
        <w:rPr>
          <w:i/>
          <w:color w:val="231F20"/>
          <w:spacing w:val="35"/>
          <w:sz w:val="24"/>
        </w:rPr>
        <w:t> </w:t>
      </w:r>
      <w:r>
        <w:rPr>
          <w:i/>
          <w:color w:val="231F20"/>
          <w:spacing w:val="-2"/>
          <w:sz w:val="24"/>
        </w:rPr>
        <w:t>aspects</w:t>
      </w:r>
    </w:p>
    <w:p>
      <w:pPr>
        <w:spacing w:before="90"/>
        <w:ind w:left="475" w:right="598" w:firstLine="0"/>
        <w:jc w:val="both"/>
        <w:rPr>
          <w:i/>
          <w:sz w:val="24"/>
        </w:rPr>
      </w:pPr>
      <w:r>
        <w:rPr/>
        <w:br w:type="column"/>
      </w:r>
      <w:r>
        <w:rPr>
          <w:i/>
          <w:color w:val="231F20"/>
          <w:sz w:val="24"/>
        </w:rPr>
        <w:t>would have to be discussed in a public session</w:t>
      </w:r>
      <w:r>
        <w:rPr>
          <w:i/>
          <w:color w:val="231F20"/>
          <w:sz w:val="24"/>
        </w:rPr>
        <w:t> unless another exception applies, such as </w:t>
      </w:r>
      <w:r>
        <w:rPr>
          <w:i/>
          <w:color w:val="231F20"/>
          <w:sz w:val="24"/>
        </w:rPr>
        <w:t>the exception</w:t>
      </w:r>
      <w:r>
        <w:rPr>
          <w:i/>
          <w:color w:val="231F20"/>
          <w:spacing w:val="5"/>
          <w:sz w:val="24"/>
        </w:rPr>
        <w:t> </w:t>
      </w:r>
      <w:r>
        <w:rPr>
          <w:i/>
          <w:color w:val="231F20"/>
          <w:sz w:val="24"/>
        </w:rPr>
        <w:t>for</w:t>
      </w:r>
      <w:r>
        <w:rPr>
          <w:i/>
          <w:color w:val="231F20"/>
          <w:spacing w:val="6"/>
          <w:sz w:val="24"/>
        </w:rPr>
        <w:t> </w:t>
      </w:r>
      <w:r>
        <w:rPr>
          <w:i/>
          <w:color w:val="231F20"/>
          <w:sz w:val="24"/>
        </w:rPr>
        <w:t>sole</w:t>
      </w:r>
      <w:r>
        <w:rPr>
          <w:i/>
          <w:color w:val="231F20"/>
          <w:spacing w:val="5"/>
          <w:sz w:val="24"/>
        </w:rPr>
        <w:t> </w:t>
      </w:r>
      <w:r>
        <w:rPr>
          <w:i/>
          <w:color w:val="231F20"/>
          <w:sz w:val="24"/>
        </w:rPr>
        <w:t>source</w:t>
      </w:r>
      <w:r>
        <w:rPr>
          <w:i/>
          <w:color w:val="231F20"/>
          <w:spacing w:val="8"/>
          <w:sz w:val="24"/>
        </w:rPr>
        <w:t> </w:t>
      </w:r>
      <w:r>
        <w:rPr>
          <w:i/>
          <w:color w:val="231F20"/>
          <w:sz w:val="24"/>
        </w:rPr>
        <w:t>purchases</w:t>
      </w:r>
      <w:r>
        <w:rPr>
          <w:i/>
          <w:color w:val="231F20"/>
          <w:spacing w:val="6"/>
          <w:sz w:val="24"/>
        </w:rPr>
        <w:t> </w:t>
      </w:r>
      <w:r>
        <w:rPr>
          <w:i/>
          <w:color w:val="231F20"/>
          <w:sz w:val="24"/>
        </w:rPr>
        <w:t>in</w:t>
      </w:r>
      <w:r>
        <w:rPr>
          <w:i/>
          <w:color w:val="231F20"/>
          <w:spacing w:val="9"/>
          <w:sz w:val="24"/>
        </w:rPr>
        <w:t> </w:t>
      </w:r>
      <w:r>
        <w:rPr>
          <w:i/>
          <w:color w:val="231F20"/>
          <w:sz w:val="24"/>
        </w:rPr>
        <w:t>excess</w:t>
      </w:r>
      <w:r>
        <w:rPr>
          <w:i/>
          <w:color w:val="231F20"/>
          <w:spacing w:val="6"/>
          <w:sz w:val="24"/>
        </w:rPr>
        <w:t> </w:t>
      </w:r>
      <w:r>
        <w:rPr>
          <w:i/>
          <w:color w:val="231F20"/>
          <w:spacing w:val="-5"/>
          <w:sz w:val="24"/>
        </w:rPr>
        <w:t>of</w:t>
      </w:r>
    </w:p>
    <w:p>
      <w:pPr>
        <w:spacing w:before="0"/>
        <w:ind w:left="475" w:right="0" w:firstLine="0"/>
        <w:jc w:val="left"/>
        <w:rPr>
          <w:i/>
          <w:sz w:val="24"/>
        </w:rPr>
      </w:pPr>
      <w:r>
        <w:rPr>
          <w:i/>
          <w:color w:val="231F20"/>
          <w:spacing w:val="-2"/>
          <w:sz w:val="24"/>
        </w:rPr>
        <w:t>$2,500.</w:t>
      </w:r>
    </w:p>
    <w:p>
      <w:pPr>
        <w:pStyle w:val="BodyText"/>
        <w:spacing w:before="11"/>
        <w:rPr>
          <w:i/>
          <w:sz w:val="23"/>
        </w:rPr>
      </w:pPr>
    </w:p>
    <w:p>
      <w:pPr>
        <w:pStyle w:val="ListParagraph"/>
        <w:numPr>
          <w:ilvl w:val="0"/>
          <w:numId w:val="11"/>
        </w:numPr>
        <w:tabs>
          <w:tab w:pos="716" w:val="left" w:leader="none"/>
        </w:tabs>
        <w:spacing w:line="240" w:lineRule="auto" w:before="0" w:after="0"/>
        <w:ind w:left="715" w:right="0" w:hanging="241"/>
        <w:jc w:val="left"/>
        <w:rPr>
          <w:sz w:val="24"/>
        </w:rPr>
      </w:pPr>
      <w:r>
        <w:rPr/>
        <w:pict>
          <v:rect style="position:absolute;margin-left:454.440002pt;margin-top:12.523154pt;width:3.12pt;height:.6pt;mso-position-horizontal-relative:page;mso-position-vertical-relative:paragraph;z-index:15735808" id="docshape18" filled="true" fillcolor="#000000" stroked="false">
            <v:fill type="solid"/>
            <w10:wrap type="none"/>
          </v:rect>
        </w:pict>
      </w:r>
      <w:bookmarkStart w:name="9. Public Hospital Board Meetings" w:id="174"/>
      <w:bookmarkEnd w:id="174"/>
      <w:r>
        <w:rPr>
          <w:color w:val="231F20"/>
          <w:sz w:val="24"/>
          <w:u w:val="single" w:color="231F20"/>
        </w:rPr>
        <w:t>P</w:t>
      </w:r>
      <w:r>
        <w:rPr>
          <w:color w:val="231F20"/>
          <w:sz w:val="24"/>
          <w:u w:val="single" w:color="231F20"/>
        </w:rPr>
        <w:t>ublic</w:t>
      </w:r>
      <w:r>
        <w:rPr>
          <w:color w:val="231F20"/>
          <w:spacing w:val="-5"/>
          <w:sz w:val="24"/>
          <w:u w:val="single" w:color="231F20"/>
        </w:rPr>
        <w:t> </w:t>
      </w:r>
      <w:r>
        <w:rPr>
          <w:color w:val="231F20"/>
          <w:sz w:val="24"/>
          <w:u w:val="single" w:color="231F20"/>
        </w:rPr>
        <w:t>Hospital</w:t>
      </w:r>
      <w:r>
        <w:rPr>
          <w:color w:val="231F20"/>
          <w:spacing w:val="-4"/>
          <w:sz w:val="24"/>
          <w:u w:val="single" w:color="231F20"/>
        </w:rPr>
        <w:t> </w:t>
      </w:r>
      <w:r>
        <w:rPr>
          <w:color w:val="231F20"/>
          <w:sz w:val="24"/>
          <w:u w:val="single" w:color="231F20"/>
        </w:rPr>
        <w:t>Board</w:t>
      </w:r>
      <w:r>
        <w:rPr>
          <w:color w:val="231F20"/>
          <w:spacing w:val="-2"/>
          <w:sz w:val="24"/>
        </w:rPr>
        <w:t> </w:t>
      </w:r>
      <w:r>
        <w:rPr>
          <w:color w:val="231F20"/>
          <w:spacing w:val="-2"/>
          <w:sz w:val="24"/>
          <w:u w:val="single" w:color="231F20"/>
        </w:rPr>
        <w:t>Meetings</w:t>
      </w:r>
    </w:p>
    <w:p>
      <w:pPr>
        <w:pStyle w:val="BodyText"/>
        <w:spacing w:before="4"/>
        <w:rPr>
          <w:sz w:val="28"/>
        </w:rPr>
      </w:pPr>
    </w:p>
    <w:p>
      <w:pPr>
        <w:spacing w:before="1"/>
        <w:ind w:left="475" w:right="0" w:firstLine="0"/>
        <w:jc w:val="left"/>
        <w:rPr>
          <w:b/>
          <w:sz w:val="24"/>
        </w:rPr>
      </w:pPr>
      <w:bookmarkStart w:name="The Law" w:id="175"/>
      <w:bookmarkEnd w:id="175"/>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7"/>
        </w:rPr>
      </w:pPr>
    </w:p>
    <w:p>
      <w:pPr>
        <w:spacing w:before="0"/>
        <w:ind w:left="475" w:right="599" w:firstLine="0"/>
        <w:jc w:val="both"/>
        <w:rPr>
          <w:b/>
          <w:sz w:val="24"/>
        </w:rPr>
      </w:pPr>
      <w:r>
        <w:rPr>
          <w:b/>
          <w:color w:val="231F20"/>
          <w:sz w:val="24"/>
        </w:rPr>
        <w:t>Those portions of meetings of committees or boards of public hospitals where strategic</w:t>
      </w:r>
      <w:r>
        <w:rPr>
          <w:b/>
          <w:color w:val="231F20"/>
          <w:spacing w:val="40"/>
          <w:sz w:val="24"/>
        </w:rPr>
        <w:t> </w:t>
      </w:r>
      <w:r>
        <w:rPr>
          <w:b/>
          <w:color w:val="231F20"/>
          <w:sz w:val="24"/>
        </w:rPr>
        <w:t>and long-range business plans or trade</w:t>
      </w:r>
      <w:r>
        <w:rPr>
          <w:b/>
          <w:color w:val="231F20"/>
          <w:spacing w:val="40"/>
          <w:sz w:val="24"/>
        </w:rPr>
        <w:t> </w:t>
      </w:r>
      <w:r>
        <w:rPr>
          <w:b/>
          <w:color w:val="231F20"/>
          <w:sz w:val="24"/>
        </w:rPr>
        <w:t>secrets are discussed.</w:t>
      </w:r>
    </w:p>
    <w:p>
      <w:pPr>
        <w:pStyle w:val="BodyText"/>
        <w:spacing w:before="6"/>
        <w:rPr>
          <w:b/>
          <w:sz w:val="23"/>
        </w:rPr>
      </w:pPr>
    </w:p>
    <w:p>
      <w:pPr>
        <w:pStyle w:val="BodyText"/>
        <w:spacing w:before="1"/>
        <w:ind w:left="475"/>
      </w:pPr>
      <w:bookmarkStart w:name="Commentary" w:id="176"/>
      <w:bookmarkEnd w:id="176"/>
      <w:r>
        <w:rPr/>
      </w:r>
      <w:r>
        <w:rPr>
          <w:color w:val="231F20"/>
          <w:spacing w:val="-2"/>
          <w:u w:val="single" w:color="231F20"/>
        </w:rPr>
        <w:t>Commentary</w:t>
      </w:r>
    </w:p>
    <w:p>
      <w:pPr>
        <w:pStyle w:val="BodyText"/>
        <w:spacing w:before="11"/>
        <w:rPr>
          <w:sz w:val="27"/>
        </w:rPr>
      </w:pPr>
    </w:p>
    <w:p>
      <w:pPr>
        <w:pStyle w:val="BodyText"/>
        <w:ind w:left="475" w:right="598"/>
        <w:jc w:val="both"/>
      </w:pPr>
      <w:r>
        <w:rPr>
          <w:color w:val="231F20"/>
        </w:rPr>
        <w:t>This exception applies to certain topics discussed by public hospital boards and committees. The legislature may have thought that in these limited instances, the policies favoring</w:t>
      </w:r>
      <w:r>
        <w:rPr>
          <w:color w:val="231F20"/>
        </w:rPr>
        <w:t> open</w:t>
      </w:r>
      <w:r>
        <w:rPr>
          <w:color w:val="231F20"/>
        </w:rPr>
        <w:t> meetings were</w:t>
      </w:r>
      <w:r>
        <w:rPr>
          <w:color w:val="231F20"/>
        </w:rPr>
        <w:t> outweighed by considerations such as the hospital’s ability to compete with private health care providers.</w:t>
      </w:r>
    </w:p>
    <w:p>
      <w:pPr>
        <w:pStyle w:val="BodyText"/>
        <w:spacing w:before="11"/>
        <w:rPr>
          <w:sz w:val="27"/>
        </w:rPr>
      </w:pPr>
    </w:p>
    <w:p>
      <w:pPr>
        <w:spacing w:before="0"/>
        <w:ind w:left="475" w:right="0" w:firstLine="0"/>
        <w:jc w:val="left"/>
        <w:rPr>
          <w:i/>
          <w:sz w:val="24"/>
        </w:rPr>
      </w:pPr>
      <w:bookmarkStart w:name="Example 67:" w:id="177"/>
      <w:bookmarkEnd w:id="17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67:</w:t>
      </w:r>
    </w:p>
    <w:p>
      <w:pPr>
        <w:pStyle w:val="BodyText"/>
        <w:spacing w:before="11"/>
        <w:rPr>
          <w:i/>
          <w:sz w:val="27"/>
        </w:rPr>
      </w:pPr>
    </w:p>
    <w:p>
      <w:pPr>
        <w:spacing w:before="0"/>
        <w:ind w:left="475" w:right="598" w:firstLine="0"/>
        <w:jc w:val="both"/>
        <w:rPr>
          <w:i/>
          <w:sz w:val="24"/>
        </w:rPr>
      </w:pPr>
      <w:r>
        <w:rPr>
          <w:i/>
          <w:color w:val="231F20"/>
          <w:sz w:val="24"/>
        </w:rPr>
        <w:t>The</w:t>
      </w:r>
      <w:r>
        <w:rPr>
          <w:i/>
          <w:color w:val="231F20"/>
          <w:spacing w:val="-4"/>
          <w:sz w:val="24"/>
        </w:rPr>
        <w:t> </w:t>
      </w:r>
      <w:r>
        <w:rPr>
          <w:i/>
          <w:color w:val="231F20"/>
          <w:sz w:val="24"/>
        </w:rPr>
        <w:t>governing</w:t>
      </w:r>
      <w:r>
        <w:rPr>
          <w:i/>
          <w:color w:val="231F20"/>
          <w:spacing w:val="-3"/>
          <w:sz w:val="24"/>
        </w:rPr>
        <w:t> </w:t>
      </w:r>
      <w:r>
        <w:rPr>
          <w:i/>
          <w:color w:val="231F20"/>
          <w:sz w:val="24"/>
        </w:rPr>
        <w:t>board</w:t>
      </w:r>
      <w:r>
        <w:rPr>
          <w:i/>
          <w:color w:val="231F20"/>
          <w:spacing w:val="-3"/>
          <w:sz w:val="24"/>
        </w:rPr>
        <w:t> </w:t>
      </w:r>
      <w:r>
        <w:rPr>
          <w:i/>
          <w:color w:val="231F20"/>
          <w:sz w:val="24"/>
        </w:rPr>
        <w:t>of a</w:t>
      </w:r>
      <w:r>
        <w:rPr>
          <w:i/>
          <w:color w:val="231F20"/>
          <w:spacing w:val="-3"/>
          <w:sz w:val="24"/>
        </w:rPr>
        <w:t> </w:t>
      </w:r>
      <w:r>
        <w:rPr>
          <w:i/>
          <w:color w:val="231F20"/>
          <w:sz w:val="24"/>
        </w:rPr>
        <w:t>county</w:t>
      </w:r>
      <w:r>
        <w:rPr>
          <w:i/>
          <w:color w:val="231F20"/>
          <w:spacing w:val="-4"/>
          <w:sz w:val="24"/>
        </w:rPr>
        <w:t> </w:t>
      </w:r>
      <w:r>
        <w:rPr>
          <w:i/>
          <w:color w:val="231F20"/>
          <w:sz w:val="24"/>
        </w:rPr>
        <w:t>hospital</w:t>
      </w:r>
      <w:r>
        <w:rPr>
          <w:i/>
          <w:color w:val="231F20"/>
          <w:spacing w:val="-3"/>
          <w:sz w:val="24"/>
        </w:rPr>
        <w:t> </w:t>
      </w:r>
      <w:r>
        <w:rPr>
          <w:i/>
          <w:color w:val="231F20"/>
          <w:sz w:val="24"/>
        </w:rPr>
        <w:t>leased</w:t>
      </w:r>
      <w:r>
        <w:rPr>
          <w:i/>
          <w:color w:val="231F20"/>
          <w:sz w:val="24"/>
        </w:rPr>
        <w:t> to a private corporation meets to discuss its employee drug abuse policies. Unless otherwise excepted by the Act, the discussion must be held in open session because the matters discussed</w:t>
      </w:r>
      <w:r>
        <w:rPr>
          <w:i/>
          <w:color w:val="231F20"/>
          <w:spacing w:val="40"/>
          <w:sz w:val="24"/>
        </w:rPr>
        <w:t> </w:t>
      </w:r>
      <w:r>
        <w:rPr>
          <w:i/>
          <w:color w:val="231F20"/>
          <w:sz w:val="24"/>
        </w:rPr>
        <w:t>do not involve the board’s strategic or long- range business plans or trade secrets.</w:t>
      </w:r>
    </w:p>
    <w:p>
      <w:pPr>
        <w:pStyle w:val="BodyText"/>
        <w:rPr>
          <w:i/>
          <w:sz w:val="28"/>
        </w:rPr>
      </w:pPr>
    </w:p>
    <w:p>
      <w:pPr>
        <w:pStyle w:val="ListParagraph"/>
        <w:numPr>
          <w:ilvl w:val="0"/>
          <w:numId w:val="11"/>
        </w:numPr>
        <w:tabs>
          <w:tab w:pos="836" w:val="left" w:leader="none"/>
        </w:tabs>
        <w:spacing w:line="240" w:lineRule="auto" w:before="0" w:after="0"/>
        <w:ind w:left="835" w:right="0" w:hanging="361"/>
        <w:jc w:val="left"/>
        <w:rPr>
          <w:sz w:val="24"/>
        </w:rPr>
      </w:pPr>
      <w:r>
        <w:rPr/>
        <w:pict>
          <v:rect style="position:absolute;margin-left:392.399994pt;margin-top:12.523119pt;width:3pt;height:.6pt;mso-position-horizontal-relative:page;mso-position-vertical-relative:paragraph;z-index:15736320" id="docshape19" filled="true" fillcolor="#000000" stroked="false">
            <v:fill type="solid"/>
            <w10:wrap type="none"/>
          </v:rect>
        </w:pict>
      </w:r>
      <w:bookmarkStart w:name="10. Gaming Control Board Meetings" w:id="178"/>
      <w:bookmarkEnd w:id="178"/>
      <w:r>
        <w:rPr>
          <w:color w:val="231F20"/>
          <w:sz w:val="24"/>
          <w:u w:val="single" w:color="231F20"/>
        </w:rPr>
        <w:t>G</w:t>
      </w:r>
      <w:r>
        <w:rPr>
          <w:color w:val="231F20"/>
          <w:sz w:val="24"/>
          <w:u w:val="single" w:color="231F20"/>
        </w:rPr>
        <w:t>aming</w:t>
      </w:r>
      <w:r>
        <w:rPr>
          <w:color w:val="231F20"/>
          <w:spacing w:val="-6"/>
          <w:sz w:val="24"/>
          <w:u w:val="single" w:color="231F20"/>
        </w:rPr>
        <w:t> </w:t>
      </w:r>
      <w:r>
        <w:rPr>
          <w:color w:val="231F20"/>
          <w:sz w:val="24"/>
          <w:u w:val="single" w:color="231F20"/>
        </w:rPr>
        <w:t>Control Board</w:t>
      </w:r>
      <w:r>
        <w:rPr>
          <w:color w:val="231F20"/>
          <w:spacing w:val="-2"/>
          <w:sz w:val="24"/>
          <w:u w:val="single" w:color="231F20"/>
        </w:rPr>
        <w:t> Meetings</w:t>
      </w:r>
    </w:p>
    <w:p>
      <w:pPr>
        <w:pStyle w:val="BodyText"/>
        <w:spacing w:before="7"/>
        <w:rPr>
          <w:sz w:val="28"/>
        </w:rPr>
      </w:pPr>
    </w:p>
    <w:p>
      <w:pPr>
        <w:spacing w:before="0"/>
        <w:ind w:left="475" w:right="0" w:firstLine="0"/>
        <w:jc w:val="left"/>
        <w:rPr>
          <w:b/>
          <w:sz w:val="24"/>
        </w:rPr>
      </w:pPr>
      <w:bookmarkStart w:name="The Law" w:id="179"/>
      <w:bookmarkEnd w:id="179"/>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7"/>
        </w:rPr>
      </w:pPr>
    </w:p>
    <w:p>
      <w:pPr>
        <w:spacing w:before="0"/>
        <w:ind w:left="475" w:right="596" w:firstLine="0"/>
        <w:jc w:val="both"/>
        <w:rPr>
          <w:b/>
          <w:sz w:val="24"/>
        </w:rPr>
      </w:pPr>
      <w:r>
        <w:rPr>
          <w:b/>
          <w:color w:val="231F20"/>
          <w:sz w:val="24"/>
        </w:rPr>
        <w:t>That portion of a meeting of the gaming control board dealing with information made confidential pursuant to the provisions of the Gaming Control Act.</w:t>
      </w:r>
    </w:p>
    <w:p>
      <w:pPr>
        <w:pStyle w:val="BodyText"/>
        <w:spacing w:before="6"/>
        <w:rPr>
          <w:b/>
          <w:sz w:val="27"/>
        </w:rPr>
      </w:pPr>
    </w:p>
    <w:p>
      <w:pPr>
        <w:pStyle w:val="BodyText"/>
        <w:ind w:left="475"/>
      </w:pPr>
      <w:bookmarkStart w:name="Commentary" w:id="180"/>
      <w:bookmarkEnd w:id="180"/>
      <w:r>
        <w:rPr/>
      </w:r>
      <w:r>
        <w:rPr>
          <w:color w:val="231F20"/>
          <w:spacing w:val="-2"/>
          <w:u w:val="single" w:color="231F20"/>
        </w:rPr>
        <w:t>Commentary</w:t>
      </w:r>
    </w:p>
    <w:p>
      <w:pPr>
        <w:pStyle w:val="BodyText"/>
        <w:rPr>
          <w:sz w:val="28"/>
        </w:rPr>
      </w:pPr>
    </w:p>
    <w:p>
      <w:pPr>
        <w:pStyle w:val="BodyText"/>
        <w:tabs>
          <w:tab w:pos="1135" w:val="left" w:leader="none"/>
          <w:tab w:pos="2301" w:val="left" w:leader="none"/>
          <w:tab w:pos="3210" w:val="left" w:leader="none"/>
          <w:tab w:pos="3865" w:val="left" w:leader="none"/>
          <w:tab w:pos="4285" w:val="left" w:leader="none"/>
        </w:tabs>
        <w:ind w:left="475" w:right="600"/>
      </w:pPr>
      <w:r>
        <w:rPr>
          <w:color w:val="231F20"/>
          <w:spacing w:val="-4"/>
        </w:rPr>
        <w:t>This</w:t>
      </w:r>
      <w:r>
        <w:rPr>
          <w:color w:val="231F20"/>
        </w:rPr>
        <w:tab/>
      </w:r>
      <w:r>
        <w:rPr>
          <w:color w:val="231F20"/>
          <w:spacing w:val="-2"/>
        </w:rPr>
        <w:t>exception</w:t>
      </w:r>
      <w:r>
        <w:rPr>
          <w:color w:val="231F20"/>
        </w:rPr>
        <w:tab/>
      </w:r>
      <w:r>
        <w:rPr>
          <w:color w:val="231F20"/>
          <w:spacing w:val="-2"/>
        </w:rPr>
        <w:t>applies</w:t>
      </w:r>
      <w:r>
        <w:rPr>
          <w:color w:val="231F20"/>
        </w:rPr>
        <w:tab/>
      </w:r>
      <w:r>
        <w:rPr>
          <w:color w:val="231F20"/>
          <w:spacing w:val="-4"/>
        </w:rPr>
        <w:t>only</w:t>
      </w:r>
      <w:r>
        <w:rPr>
          <w:color w:val="231F20"/>
        </w:rPr>
        <w:tab/>
      </w:r>
      <w:r>
        <w:rPr>
          <w:color w:val="231F20"/>
          <w:spacing w:val="-6"/>
        </w:rPr>
        <w:t>to</w:t>
      </w:r>
      <w:r>
        <w:rPr>
          <w:color w:val="231F20"/>
        </w:rPr>
        <w:tab/>
      </w:r>
      <w:r>
        <w:rPr>
          <w:color w:val="231F20"/>
          <w:spacing w:val="-2"/>
        </w:rPr>
        <w:t>meetings </w:t>
      </w:r>
      <w:r>
        <w:rPr>
          <w:color w:val="231F20"/>
        </w:rPr>
        <w:t>conducted</w:t>
      </w:r>
      <w:r>
        <w:rPr>
          <w:color w:val="231F20"/>
          <w:spacing w:val="59"/>
        </w:rPr>
        <w:t> </w:t>
      </w:r>
      <w:r>
        <w:rPr>
          <w:color w:val="231F20"/>
        </w:rPr>
        <w:t>by</w:t>
      </w:r>
      <w:r>
        <w:rPr>
          <w:color w:val="231F20"/>
          <w:spacing w:val="54"/>
        </w:rPr>
        <w:t> </w:t>
      </w:r>
      <w:r>
        <w:rPr>
          <w:color w:val="231F20"/>
        </w:rPr>
        <w:t>the</w:t>
      </w:r>
      <w:r>
        <w:rPr>
          <w:color w:val="231F20"/>
          <w:spacing w:val="61"/>
        </w:rPr>
        <w:t> </w:t>
      </w:r>
      <w:r>
        <w:rPr>
          <w:color w:val="231F20"/>
        </w:rPr>
        <w:t>Gaming</w:t>
      </w:r>
      <w:r>
        <w:rPr>
          <w:color w:val="231F20"/>
          <w:spacing w:val="56"/>
        </w:rPr>
        <w:t> </w:t>
      </w:r>
      <w:r>
        <w:rPr>
          <w:color w:val="231F20"/>
        </w:rPr>
        <w:t>Control</w:t>
      </w:r>
      <w:r>
        <w:rPr>
          <w:color w:val="231F20"/>
          <w:spacing w:val="59"/>
        </w:rPr>
        <w:t> </w:t>
      </w:r>
      <w:r>
        <w:rPr>
          <w:color w:val="231F20"/>
        </w:rPr>
        <w:t>Board</w:t>
      </w:r>
      <w:r>
        <w:rPr>
          <w:color w:val="231F20"/>
          <w:spacing w:val="62"/>
        </w:rPr>
        <w:t> </w:t>
      </w:r>
      <w:r>
        <w:rPr>
          <w:color w:val="231F20"/>
          <w:spacing w:val="-5"/>
        </w:rPr>
        <w:t>and</w:t>
      </w:r>
    </w:p>
    <w:p>
      <w:pPr>
        <w:spacing w:after="0"/>
        <w:sectPr>
          <w:type w:val="continuous"/>
          <w:pgSz w:w="12240" w:h="15840"/>
          <w:pgMar w:header="660" w:footer="484" w:top="480" w:bottom="280" w:left="360" w:right="240"/>
          <w:cols w:num="2" w:equalWidth="0">
            <w:col w:w="5199" w:space="684"/>
            <w:col w:w="5757"/>
          </w:cols>
        </w:sectPr>
      </w:pPr>
    </w:p>
    <w:p>
      <w:pPr>
        <w:pStyle w:val="BodyText"/>
        <w:spacing w:before="8"/>
        <w:rPr>
          <w:sz w:val="15"/>
        </w:rPr>
      </w:pPr>
    </w:p>
    <w:p>
      <w:pPr>
        <w:spacing w:after="0"/>
        <w:rPr>
          <w:sz w:val="15"/>
        </w:rPr>
        <w:sectPr>
          <w:pgSz w:w="12240" w:h="15840"/>
          <w:pgMar w:header="660" w:footer="484" w:top="960" w:bottom="900" w:left="360" w:right="240"/>
        </w:sectPr>
      </w:pPr>
    </w:p>
    <w:p>
      <w:pPr>
        <w:pStyle w:val="BodyText"/>
        <w:spacing w:before="90"/>
        <w:ind w:left="475" w:right="40"/>
        <w:jc w:val="both"/>
      </w:pPr>
      <w:r>
        <w:rPr>
          <w:color w:val="231F20"/>
        </w:rPr>
        <w:t>permits the Board to hold a closed meeting to discuss information that is confidential under</w:t>
      </w:r>
      <w:r>
        <w:rPr>
          <w:color w:val="231F20"/>
          <w:spacing w:val="40"/>
        </w:rPr>
        <w:t> </w:t>
      </w:r>
      <w:r>
        <w:rPr>
          <w:color w:val="231F20"/>
        </w:rPr>
        <w:t>the Gaming Control Act, NMSA 1978, Sections 60-2E-1 to -61. Information made confidential under the Gaming Control Act includes “confidential security and investigative information,” and confidential information, documents or communications of an applicant</w:t>
      </w:r>
      <w:r>
        <w:rPr>
          <w:color w:val="231F20"/>
          <w:spacing w:val="40"/>
        </w:rPr>
        <w:t> </w:t>
      </w:r>
      <w:r>
        <w:rPr>
          <w:color w:val="231F20"/>
        </w:rPr>
        <w:t>or licensee required by law, Board regulations</w:t>
      </w:r>
      <w:r>
        <w:rPr>
          <w:color w:val="231F20"/>
          <w:spacing w:val="40"/>
        </w:rPr>
        <w:t> </w:t>
      </w:r>
      <w:r>
        <w:rPr>
          <w:color w:val="231F20"/>
        </w:rPr>
        <w:t>or</w:t>
      </w:r>
      <w:r>
        <w:rPr>
          <w:color w:val="231F20"/>
        </w:rPr>
        <w:t> a</w:t>
      </w:r>
      <w:r>
        <w:rPr>
          <w:color w:val="231F20"/>
        </w:rPr>
        <w:t> subpoena. </w:t>
      </w:r>
      <w:r>
        <w:rPr>
          <w:i/>
          <w:color w:val="231F20"/>
        </w:rPr>
        <w:t>See </w:t>
      </w:r>
      <w:r>
        <w:rPr>
          <w:color w:val="231F20"/>
        </w:rPr>
        <w:t>NMSA 1978, Sections 60- 2E-6(C), 60-2E-41.</w:t>
      </w:r>
    </w:p>
    <w:p>
      <w:pPr>
        <w:pStyle w:val="BodyText"/>
        <w:spacing w:before="5"/>
      </w:pPr>
    </w:p>
    <w:p>
      <w:pPr>
        <w:pStyle w:val="Heading2"/>
        <w:numPr>
          <w:ilvl w:val="0"/>
          <w:numId w:val="13"/>
        </w:numPr>
        <w:tabs>
          <w:tab w:pos="836" w:val="left" w:leader="none"/>
        </w:tabs>
        <w:spacing w:line="240" w:lineRule="auto" w:before="1" w:after="0"/>
        <w:ind w:left="835" w:right="0" w:hanging="361"/>
        <w:jc w:val="left"/>
      </w:pPr>
      <w:bookmarkStart w:name="_TOC_250011" w:id="181"/>
      <w:bookmarkStart w:name="I. Closed Meetings" w:id="182"/>
      <w:r>
        <w:rPr>
          <w:color w:val="231F20"/>
        </w:rPr>
        <w:t>C</w:t>
      </w:r>
      <w:r>
        <w:rPr>
          <w:color w:val="231F20"/>
        </w:rPr>
        <w:t>losed</w:t>
      </w:r>
      <w:r>
        <w:rPr>
          <w:color w:val="231F20"/>
          <w:spacing w:val="-3"/>
        </w:rPr>
        <w:t> </w:t>
      </w:r>
      <w:bookmarkEnd w:id="181"/>
      <w:r>
        <w:rPr>
          <w:color w:val="231F20"/>
          <w:spacing w:val="-2"/>
        </w:rPr>
        <w:t>Meetings</w:t>
      </w:r>
    </w:p>
    <w:p>
      <w:pPr>
        <w:pStyle w:val="BodyText"/>
        <w:spacing w:before="269"/>
        <w:ind w:left="475"/>
      </w:pPr>
      <w:bookmarkStart w:name="Commentary" w:id="183"/>
      <w:bookmarkEnd w:id="183"/>
      <w:r>
        <w:rPr/>
      </w:r>
      <w:r>
        <w:rPr>
          <w:color w:val="231F20"/>
          <w:spacing w:val="-2"/>
          <w:u w:val="single" w:color="231F20"/>
        </w:rPr>
        <w:t>Commentary</w:t>
      </w:r>
    </w:p>
    <w:p>
      <w:pPr>
        <w:pStyle w:val="BodyText"/>
      </w:pPr>
    </w:p>
    <w:p>
      <w:pPr>
        <w:pStyle w:val="BodyText"/>
        <w:spacing w:before="1"/>
        <w:ind w:left="475" w:right="38"/>
        <w:jc w:val="both"/>
      </w:pPr>
      <w:r>
        <w:rPr>
          <w:color w:val="231F20"/>
        </w:rPr>
        <w:t>Before meeting in closed session, a public body must follow the procedures specified in Section 10-15-1(I) of the Act. As discussed below, there are different procedures for closing an open meeting and for holding a closed meeting separately from an open meeting.</w:t>
      </w:r>
    </w:p>
    <w:p>
      <w:pPr>
        <w:pStyle w:val="BodyText"/>
        <w:spacing w:before="11"/>
        <w:rPr>
          <w:sz w:val="23"/>
        </w:rPr>
      </w:pPr>
    </w:p>
    <w:p>
      <w:pPr>
        <w:pStyle w:val="ListParagraph"/>
        <w:numPr>
          <w:ilvl w:val="1"/>
          <w:numId w:val="13"/>
        </w:numPr>
        <w:tabs>
          <w:tab w:pos="716" w:val="left" w:leader="none"/>
        </w:tabs>
        <w:spacing w:line="240" w:lineRule="auto" w:before="0" w:after="0"/>
        <w:ind w:left="715" w:right="0" w:hanging="241"/>
        <w:jc w:val="left"/>
        <w:rPr>
          <w:sz w:val="24"/>
        </w:rPr>
      </w:pPr>
      <w:bookmarkStart w:name="1. Closing an Open Meeting" w:id="184"/>
      <w:bookmarkEnd w:id="184"/>
      <w:r>
        <w:rPr>
          <w:color w:val="231F20"/>
          <w:sz w:val="24"/>
          <w:u w:val="single" w:color="231F20"/>
        </w:rPr>
        <w:t>C</w:t>
      </w:r>
      <w:r>
        <w:rPr>
          <w:color w:val="231F20"/>
          <w:sz w:val="24"/>
          <w:u w:val="single" w:color="231F20"/>
        </w:rPr>
        <w:t>losing</w:t>
      </w:r>
      <w:r>
        <w:rPr>
          <w:color w:val="231F20"/>
          <w:spacing w:val="-6"/>
          <w:sz w:val="24"/>
          <w:u w:val="single" w:color="231F20"/>
        </w:rPr>
        <w:t> </w:t>
      </w:r>
      <w:r>
        <w:rPr>
          <w:color w:val="231F20"/>
          <w:sz w:val="24"/>
          <w:u w:val="single" w:color="231F20"/>
        </w:rPr>
        <w:t>an</w:t>
      </w:r>
      <w:r>
        <w:rPr>
          <w:color w:val="231F20"/>
          <w:spacing w:val="-2"/>
          <w:sz w:val="24"/>
          <w:u w:val="single" w:color="231F20"/>
        </w:rPr>
        <w:t> </w:t>
      </w:r>
      <w:r>
        <w:rPr>
          <w:color w:val="231F20"/>
          <w:sz w:val="24"/>
          <w:u w:val="single" w:color="231F20"/>
        </w:rPr>
        <w:t>Open</w:t>
      </w:r>
      <w:r>
        <w:rPr>
          <w:color w:val="231F20"/>
          <w:spacing w:val="-2"/>
          <w:sz w:val="24"/>
          <w:u w:val="single" w:color="231F20"/>
        </w:rPr>
        <w:t> Meeting</w:t>
      </w:r>
    </w:p>
    <w:p>
      <w:pPr>
        <w:pStyle w:val="BodyText"/>
        <w:spacing w:before="5"/>
      </w:pPr>
    </w:p>
    <w:p>
      <w:pPr>
        <w:spacing w:before="0"/>
        <w:ind w:left="475" w:right="0" w:firstLine="0"/>
        <w:jc w:val="left"/>
        <w:rPr>
          <w:b/>
          <w:sz w:val="24"/>
        </w:rPr>
      </w:pPr>
      <w:bookmarkStart w:name="The Law" w:id="185"/>
      <w:bookmarkEnd w:id="185"/>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40" w:firstLine="0"/>
        <w:jc w:val="both"/>
        <w:rPr>
          <w:b/>
          <w:sz w:val="24"/>
        </w:rPr>
      </w:pPr>
      <w:r>
        <w:rPr>
          <w:b/>
          <w:color w:val="231F20"/>
          <w:sz w:val="24"/>
        </w:rPr>
        <w:t>If</w:t>
      </w:r>
      <w:r>
        <w:rPr>
          <w:b/>
          <w:color w:val="231F20"/>
          <w:sz w:val="24"/>
        </w:rPr>
        <w:t> any meeting is closed pursuant to the exclusions contained in Subsection H of this section, the closure:</w:t>
      </w:r>
    </w:p>
    <w:p>
      <w:pPr>
        <w:pStyle w:val="BodyText"/>
        <w:rPr>
          <w:b/>
        </w:rPr>
      </w:pPr>
    </w:p>
    <w:p>
      <w:pPr>
        <w:spacing w:before="0"/>
        <w:ind w:left="475" w:right="39" w:firstLine="360"/>
        <w:jc w:val="both"/>
        <w:rPr>
          <w:b/>
          <w:sz w:val="24"/>
        </w:rPr>
      </w:pPr>
      <w:r>
        <w:rPr>
          <w:b/>
          <w:color w:val="231F20"/>
          <w:sz w:val="24"/>
        </w:rPr>
        <w:t>(1)</w:t>
      </w:r>
      <w:r>
        <w:rPr>
          <w:b/>
          <w:color w:val="231F20"/>
          <w:sz w:val="24"/>
        </w:rPr>
        <w:t> If</w:t>
      </w:r>
      <w:r>
        <w:rPr>
          <w:b/>
          <w:color w:val="231F20"/>
          <w:sz w:val="24"/>
        </w:rPr>
        <w:t> made in an open meeting, shall be approved by a majority vote of a quorum of the policymaking body; the authority for the closure and the subject to be discussed shall be stated with reasonable specificity in the motion calling for the vote on a closed meeting; the vote shall be taken in an open meeting;</w:t>
      </w:r>
      <w:r>
        <w:rPr>
          <w:b/>
          <w:color w:val="231F20"/>
          <w:sz w:val="24"/>
        </w:rPr>
        <w:t> and the vote of each individual member shall be recorded in the minutes. Only</w:t>
      </w:r>
      <w:r>
        <w:rPr>
          <w:b/>
          <w:color w:val="231F20"/>
          <w:spacing w:val="-2"/>
          <w:sz w:val="24"/>
        </w:rPr>
        <w:t> </w:t>
      </w:r>
      <w:r>
        <w:rPr>
          <w:b/>
          <w:color w:val="231F20"/>
          <w:sz w:val="24"/>
        </w:rPr>
        <w:t>those</w:t>
      </w:r>
      <w:r>
        <w:rPr>
          <w:b/>
          <w:color w:val="231F20"/>
          <w:spacing w:val="-3"/>
          <w:sz w:val="24"/>
        </w:rPr>
        <w:t> </w:t>
      </w:r>
      <w:r>
        <w:rPr>
          <w:b/>
          <w:color w:val="231F20"/>
          <w:sz w:val="24"/>
        </w:rPr>
        <w:t>subjects</w:t>
      </w:r>
      <w:r>
        <w:rPr>
          <w:b/>
          <w:color w:val="231F20"/>
          <w:spacing w:val="-1"/>
          <w:sz w:val="24"/>
        </w:rPr>
        <w:t> </w:t>
      </w:r>
      <w:r>
        <w:rPr>
          <w:b/>
          <w:color w:val="231F20"/>
          <w:sz w:val="24"/>
        </w:rPr>
        <w:t>announced</w:t>
      </w:r>
      <w:r>
        <w:rPr>
          <w:b/>
          <w:color w:val="231F20"/>
          <w:spacing w:val="-1"/>
          <w:sz w:val="24"/>
        </w:rPr>
        <w:t> </w:t>
      </w:r>
      <w:r>
        <w:rPr>
          <w:b/>
          <w:color w:val="231F20"/>
          <w:sz w:val="24"/>
        </w:rPr>
        <w:t>or</w:t>
      </w:r>
      <w:r>
        <w:rPr>
          <w:b/>
          <w:color w:val="231F20"/>
          <w:spacing w:val="-3"/>
          <w:sz w:val="24"/>
        </w:rPr>
        <w:t> </w:t>
      </w:r>
      <w:r>
        <w:rPr>
          <w:b/>
          <w:color w:val="231F20"/>
          <w:sz w:val="24"/>
        </w:rPr>
        <w:t>voted</w:t>
      </w:r>
      <w:r>
        <w:rPr>
          <w:b/>
          <w:color w:val="231F20"/>
          <w:spacing w:val="-1"/>
          <w:sz w:val="24"/>
        </w:rPr>
        <w:t> </w:t>
      </w:r>
      <w:r>
        <w:rPr>
          <w:b/>
          <w:color w:val="231F20"/>
          <w:sz w:val="24"/>
        </w:rPr>
        <w:t>upon prior to closure by the policymaking body may be discussed in a closed meeting.</w:t>
      </w:r>
    </w:p>
    <w:p>
      <w:pPr>
        <w:pStyle w:val="BodyText"/>
        <w:spacing w:before="7"/>
        <w:rPr>
          <w:b/>
          <w:sz w:val="23"/>
        </w:rPr>
      </w:pPr>
    </w:p>
    <w:p>
      <w:pPr>
        <w:pStyle w:val="BodyText"/>
        <w:ind w:left="475"/>
      </w:pPr>
      <w:bookmarkStart w:name="Commentary" w:id="186"/>
      <w:bookmarkEnd w:id="186"/>
      <w:r>
        <w:rPr/>
      </w:r>
      <w:r>
        <w:rPr>
          <w:color w:val="231F20"/>
          <w:spacing w:val="-2"/>
          <w:u w:val="single" w:color="231F20"/>
        </w:rPr>
        <w:t>Commentary</w:t>
      </w:r>
    </w:p>
    <w:p>
      <w:pPr>
        <w:pStyle w:val="BodyText"/>
      </w:pPr>
    </w:p>
    <w:p>
      <w:pPr>
        <w:pStyle w:val="BodyText"/>
        <w:ind w:left="475" w:right="40"/>
        <w:jc w:val="both"/>
      </w:pPr>
      <w:r>
        <w:rPr>
          <w:color w:val="231F20"/>
        </w:rPr>
        <w:t>The agenda of a meeting of a public body normally covers various topics, some of which may</w:t>
      </w:r>
      <w:r>
        <w:rPr>
          <w:color w:val="231F20"/>
          <w:spacing w:val="53"/>
        </w:rPr>
        <w:t> </w:t>
      </w:r>
      <w:r>
        <w:rPr>
          <w:color w:val="231F20"/>
        </w:rPr>
        <w:t>fall</w:t>
      </w:r>
      <w:r>
        <w:rPr>
          <w:color w:val="231F20"/>
          <w:spacing w:val="57"/>
        </w:rPr>
        <w:t> </w:t>
      </w:r>
      <w:r>
        <w:rPr>
          <w:color w:val="231F20"/>
        </w:rPr>
        <w:t>within</w:t>
      </w:r>
      <w:r>
        <w:rPr>
          <w:color w:val="231F20"/>
          <w:spacing w:val="55"/>
        </w:rPr>
        <w:t> </w:t>
      </w:r>
      <w:r>
        <w:rPr>
          <w:color w:val="231F20"/>
        </w:rPr>
        <w:t>the</w:t>
      </w:r>
      <w:r>
        <w:rPr>
          <w:color w:val="231F20"/>
          <w:spacing w:val="55"/>
        </w:rPr>
        <w:t> </w:t>
      </w:r>
      <w:r>
        <w:rPr>
          <w:color w:val="231F20"/>
        </w:rPr>
        <w:t>enumerated</w:t>
      </w:r>
      <w:r>
        <w:rPr>
          <w:color w:val="231F20"/>
          <w:spacing w:val="58"/>
        </w:rPr>
        <w:t> </w:t>
      </w:r>
      <w:r>
        <w:rPr>
          <w:color w:val="231F20"/>
        </w:rPr>
        <w:t>exceptions</w:t>
      </w:r>
      <w:r>
        <w:rPr>
          <w:color w:val="231F20"/>
          <w:spacing w:val="56"/>
        </w:rPr>
        <w:t> </w:t>
      </w:r>
      <w:r>
        <w:rPr>
          <w:color w:val="231F20"/>
          <w:spacing w:val="-5"/>
        </w:rPr>
        <w:t>to</w:t>
      </w:r>
    </w:p>
    <w:p>
      <w:pPr>
        <w:pStyle w:val="BodyText"/>
        <w:spacing w:before="90"/>
        <w:ind w:left="475" w:right="598"/>
        <w:jc w:val="both"/>
      </w:pPr>
      <w:r>
        <w:rPr/>
        <w:br w:type="column"/>
      </w:r>
      <w:r>
        <w:rPr>
          <w:color w:val="231F20"/>
        </w:rPr>
        <w:t>the open meeting requirement of the Act. When an item is presented for discussion that may be considered in closed session, a motion for closure</w:t>
      </w:r>
      <w:r>
        <w:rPr>
          <w:color w:val="231F20"/>
          <w:spacing w:val="-5"/>
        </w:rPr>
        <w:t> </w:t>
      </w:r>
      <w:r>
        <w:rPr>
          <w:color w:val="231F20"/>
        </w:rPr>
        <w:t>must</w:t>
      </w:r>
      <w:r>
        <w:rPr>
          <w:color w:val="231F20"/>
          <w:spacing w:val="-3"/>
        </w:rPr>
        <w:t> </w:t>
      </w:r>
      <w:r>
        <w:rPr>
          <w:color w:val="231F20"/>
        </w:rPr>
        <w:t>be</w:t>
      </w:r>
      <w:r>
        <w:rPr>
          <w:color w:val="231F20"/>
          <w:spacing w:val="-2"/>
        </w:rPr>
        <w:t> </w:t>
      </w:r>
      <w:r>
        <w:rPr>
          <w:color w:val="231F20"/>
        </w:rPr>
        <w:t>made</w:t>
      </w:r>
      <w:r>
        <w:rPr>
          <w:color w:val="231F20"/>
          <w:spacing w:val="-2"/>
        </w:rPr>
        <w:t> </w:t>
      </w:r>
      <w:r>
        <w:rPr>
          <w:color w:val="231F20"/>
        </w:rPr>
        <w:t>by</w:t>
      </w:r>
      <w:r>
        <w:rPr>
          <w:color w:val="231F20"/>
          <w:spacing w:val="-6"/>
        </w:rPr>
        <w:t> </w:t>
      </w:r>
      <w:r>
        <w:rPr>
          <w:color w:val="231F20"/>
        </w:rPr>
        <w:t>a</w:t>
      </w:r>
      <w:r>
        <w:rPr>
          <w:color w:val="231F20"/>
          <w:spacing w:val="-4"/>
        </w:rPr>
        <w:t> </w:t>
      </w:r>
      <w:r>
        <w:rPr>
          <w:color w:val="231F20"/>
        </w:rPr>
        <w:t>member</w:t>
      </w:r>
      <w:r>
        <w:rPr>
          <w:color w:val="231F20"/>
          <w:spacing w:val="-2"/>
        </w:rPr>
        <w:t> </w:t>
      </w:r>
      <w:r>
        <w:rPr>
          <w:color w:val="231F20"/>
        </w:rPr>
        <w:t>of</w:t>
      </w:r>
      <w:r>
        <w:rPr>
          <w:color w:val="231F20"/>
          <w:spacing w:val="-4"/>
        </w:rPr>
        <w:t> </w:t>
      </w:r>
      <w:r>
        <w:rPr>
          <w:color w:val="231F20"/>
        </w:rPr>
        <w:t>the</w:t>
      </w:r>
      <w:r>
        <w:rPr>
          <w:color w:val="231F20"/>
          <w:spacing w:val="-4"/>
        </w:rPr>
        <w:t> </w:t>
      </w:r>
      <w:r>
        <w:rPr>
          <w:color w:val="231F20"/>
        </w:rPr>
        <w:t>public body stating the authority for closure</w:t>
      </w:r>
      <w:r>
        <w:rPr>
          <w:color w:val="231F20"/>
        </w:rPr>
        <w:t> and</w:t>
      </w:r>
      <w:r>
        <w:rPr>
          <w:color w:val="231F20"/>
        </w:rPr>
        <w:t> the reason for closing the meeting with reasonable specificity. The subject announced will comply with the “reasonable specificity” requirement if it provides sufficient</w:t>
      </w:r>
      <w:r>
        <w:rPr>
          <w:color w:val="231F20"/>
        </w:rPr>
        <w:t> information</w:t>
      </w:r>
      <w:r>
        <w:rPr>
          <w:color w:val="231F20"/>
        </w:rPr>
        <w:t> to</w:t>
      </w:r>
      <w:r>
        <w:rPr>
          <w:color w:val="231F20"/>
        </w:rPr>
        <w:t> give</w:t>
      </w:r>
      <w:r>
        <w:rPr>
          <w:color w:val="231F20"/>
        </w:rPr>
        <w:t> the public</w:t>
      </w:r>
      <w:r>
        <w:rPr>
          <w:color w:val="231F20"/>
        </w:rPr>
        <w:t> a</w:t>
      </w:r>
      <w:r>
        <w:rPr>
          <w:color w:val="231F20"/>
        </w:rPr>
        <w:t> general idea</w:t>
      </w:r>
      <w:r>
        <w:rPr>
          <w:color w:val="231F20"/>
        </w:rPr>
        <w:t> about what will be discussed without compromising the confidentiality conferred by the exception. For example,</w:t>
      </w:r>
      <w:r>
        <w:rPr>
          <w:color w:val="231F20"/>
        </w:rPr>
        <w:t> a</w:t>
      </w:r>
      <w:r>
        <w:rPr>
          <w:color w:val="231F20"/>
        </w:rPr>
        <w:t> motion</w:t>
      </w:r>
      <w:r>
        <w:rPr>
          <w:color w:val="231F20"/>
        </w:rPr>
        <w:t> might</w:t>
      </w:r>
      <w:r>
        <w:rPr>
          <w:color w:val="231F20"/>
        </w:rPr>
        <w:t> be</w:t>
      </w:r>
      <w:r>
        <w:rPr>
          <w:color w:val="231F20"/>
        </w:rPr>
        <w:t> stated:</w:t>
      </w:r>
      <w:r>
        <w:rPr>
          <w:color w:val="231F20"/>
          <w:spacing w:val="80"/>
        </w:rPr>
        <w:t> </w:t>
      </w:r>
      <w:r>
        <w:rPr>
          <w:color w:val="231F20"/>
        </w:rPr>
        <w:t>“I move</w:t>
      </w:r>
      <w:r>
        <w:rPr>
          <w:color w:val="231F20"/>
          <w:spacing w:val="40"/>
        </w:rPr>
        <w:t> </w:t>
      </w:r>
      <w:r>
        <w:rPr>
          <w:color w:val="231F20"/>
        </w:rPr>
        <w:t>that the commission convene in closed session as authorized by the limited personnel matters exception to discuss possible disciplinary action against an employee.” Or,</w:t>
      </w:r>
      <w:r>
        <w:rPr>
          <w:color w:val="231F20"/>
        </w:rPr>
        <w:t> “I</w:t>
      </w:r>
      <w:r>
        <w:rPr>
          <w:color w:val="231F20"/>
        </w:rPr>
        <w:t> move</w:t>
      </w:r>
      <w:r>
        <w:rPr>
          <w:color w:val="231F20"/>
        </w:rPr>
        <w:t> that</w:t>
      </w:r>
      <w:r>
        <w:rPr>
          <w:color w:val="231F20"/>
        </w:rPr>
        <w:t> the</w:t>
      </w:r>
      <w:r>
        <w:rPr>
          <w:color w:val="231F20"/>
          <w:spacing w:val="40"/>
        </w:rPr>
        <w:t> </w:t>
      </w:r>
      <w:r>
        <w:rPr>
          <w:color w:val="231F20"/>
        </w:rPr>
        <w:t>board discuss the case of X vs. The County</w:t>
      </w:r>
      <w:r>
        <w:rPr>
          <w:color w:val="231F20"/>
          <w:spacing w:val="-3"/>
        </w:rPr>
        <w:t> </w:t>
      </w:r>
      <w:r>
        <w:rPr>
          <w:color w:val="231F20"/>
        </w:rPr>
        <w:t>with the board’s attorney in executive session as authorized by Section 10-15-1(H)(7)</w:t>
      </w:r>
      <w:r>
        <w:rPr>
          <w:color w:val="231F20"/>
        </w:rPr>
        <w:t> of</w:t>
      </w:r>
      <w:r>
        <w:rPr>
          <w:color w:val="231F20"/>
        </w:rPr>
        <w:t> the</w:t>
      </w:r>
      <w:r>
        <w:rPr>
          <w:color w:val="231F20"/>
          <w:spacing w:val="40"/>
        </w:rPr>
        <w:t> </w:t>
      </w:r>
      <w:r>
        <w:rPr>
          <w:color w:val="231F20"/>
        </w:rPr>
        <w:t>Open Meetings Act.”</w:t>
      </w:r>
    </w:p>
    <w:p>
      <w:pPr>
        <w:pStyle w:val="BodyText"/>
      </w:pPr>
    </w:p>
    <w:p>
      <w:pPr>
        <w:pStyle w:val="BodyText"/>
        <w:ind w:left="475" w:right="599"/>
        <w:jc w:val="both"/>
      </w:pPr>
      <w:r>
        <w:rPr>
          <w:color w:val="231F20"/>
        </w:rPr>
        <w:t>A roll call vote of the members present must be taken on the motion and the vote of each individual member recorded in the minutes. If the motion is approved, the public body shall convene in closed session to consider only the item or items covered by the motion voted on prior to closing the meeting.</w:t>
      </w:r>
    </w:p>
    <w:p>
      <w:pPr>
        <w:pStyle w:val="BodyText"/>
      </w:pPr>
    </w:p>
    <w:p>
      <w:pPr>
        <w:spacing w:before="0"/>
        <w:ind w:left="475" w:right="0" w:firstLine="0"/>
        <w:jc w:val="both"/>
        <w:rPr>
          <w:i/>
          <w:sz w:val="24"/>
        </w:rPr>
      </w:pPr>
      <w:bookmarkStart w:name="Example 68:" w:id="187"/>
      <w:bookmarkEnd w:id="18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68:</w:t>
      </w:r>
    </w:p>
    <w:p>
      <w:pPr>
        <w:pStyle w:val="BodyText"/>
        <w:rPr>
          <w:i/>
        </w:rPr>
      </w:pPr>
    </w:p>
    <w:p>
      <w:pPr>
        <w:spacing w:before="0"/>
        <w:ind w:left="475" w:right="600" w:firstLine="0"/>
        <w:jc w:val="both"/>
        <w:rPr>
          <w:i/>
          <w:sz w:val="24"/>
        </w:rPr>
      </w:pPr>
      <w:r>
        <w:rPr>
          <w:i/>
          <w:color w:val="231F20"/>
          <w:sz w:val="24"/>
        </w:rPr>
        <w:t>Item 6 on the agenda of a regular open </w:t>
      </w:r>
      <w:r>
        <w:rPr>
          <w:i/>
          <w:color w:val="231F20"/>
          <w:sz w:val="24"/>
        </w:rPr>
        <w:t>meeting</w:t>
      </w:r>
      <w:r>
        <w:rPr>
          <w:i/>
          <w:color w:val="231F20"/>
          <w:sz w:val="24"/>
        </w:rPr>
        <w:t> of a municipality’s governing board states:</w:t>
      </w:r>
    </w:p>
    <w:p>
      <w:pPr>
        <w:pStyle w:val="BodyText"/>
        <w:spacing w:before="9"/>
        <w:rPr>
          <w:i/>
          <w:sz w:val="23"/>
        </w:rPr>
      </w:pPr>
    </w:p>
    <w:p>
      <w:pPr>
        <w:spacing w:before="0"/>
        <w:ind w:left="475" w:right="598" w:firstLine="0"/>
        <w:jc w:val="both"/>
        <w:rPr>
          <w:i/>
          <w:sz w:val="24"/>
        </w:rPr>
      </w:pPr>
      <w:r>
        <w:rPr>
          <w:i/>
          <w:color w:val="231F20"/>
          <w:sz w:val="24"/>
        </w:rPr>
        <w:t>“Purchase of Property for New Courthouse.” A</w:t>
      </w:r>
      <w:r>
        <w:rPr>
          <w:i/>
          <w:color w:val="231F20"/>
          <w:sz w:val="24"/>
        </w:rPr>
        <w:t> member of the governing body moves that the meeting be closed pursuant to Section 10-15- 1(H)(8)</w:t>
      </w:r>
      <w:r>
        <w:rPr>
          <w:i/>
          <w:color w:val="231F20"/>
          <w:sz w:val="24"/>
        </w:rPr>
        <w:t> to</w:t>
      </w:r>
      <w:r>
        <w:rPr>
          <w:i/>
          <w:color w:val="231F20"/>
          <w:sz w:val="24"/>
        </w:rPr>
        <w:t> consider the purchase of real property for the new courthouse. The motion is duly seconded and a roll call vote is taken. The minutes</w:t>
      </w:r>
      <w:r>
        <w:rPr>
          <w:i/>
          <w:color w:val="231F20"/>
          <w:spacing w:val="-3"/>
          <w:sz w:val="24"/>
        </w:rPr>
        <w:t> </w:t>
      </w:r>
      <w:r>
        <w:rPr>
          <w:i/>
          <w:color w:val="231F20"/>
          <w:sz w:val="24"/>
        </w:rPr>
        <w:t>reflect</w:t>
      </w:r>
      <w:r>
        <w:rPr>
          <w:i/>
          <w:color w:val="231F20"/>
          <w:spacing w:val="-3"/>
          <w:sz w:val="24"/>
        </w:rPr>
        <w:t> </w:t>
      </w:r>
      <w:r>
        <w:rPr>
          <w:i/>
          <w:color w:val="231F20"/>
          <w:sz w:val="24"/>
        </w:rPr>
        <w:t>that</w:t>
      </w:r>
      <w:r>
        <w:rPr>
          <w:i/>
          <w:color w:val="231F20"/>
          <w:spacing w:val="-3"/>
          <w:sz w:val="24"/>
        </w:rPr>
        <w:t> </w:t>
      </w:r>
      <w:r>
        <w:rPr>
          <w:i/>
          <w:color w:val="231F20"/>
          <w:sz w:val="24"/>
        </w:rPr>
        <w:t>each</w:t>
      </w:r>
      <w:r>
        <w:rPr>
          <w:i/>
          <w:color w:val="231F20"/>
          <w:spacing w:val="-1"/>
          <w:sz w:val="24"/>
        </w:rPr>
        <w:t> </w:t>
      </w:r>
      <w:r>
        <w:rPr>
          <w:i/>
          <w:color w:val="231F20"/>
          <w:sz w:val="24"/>
        </w:rPr>
        <w:t>of</w:t>
      </w:r>
      <w:r>
        <w:rPr>
          <w:i/>
          <w:color w:val="231F20"/>
          <w:spacing w:val="-3"/>
          <w:sz w:val="24"/>
        </w:rPr>
        <w:t> </w:t>
      </w:r>
      <w:r>
        <w:rPr>
          <w:i/>
          <w:color w:val="231F20"/>
          <w:sz w:val="24"/>
        </w:rPr>
        <w:t>the</w:t>
      </w:r>
      <w:r>
        <w:rPr>
          <w:i/>
          <w:color w:val="231F20"/>
          <w:spacing w:val="-4"/>
          <w:sz w:val="24"/>
        </w:rPr>
        <w:t> </w:t>
      </w:r>
      <w:r>
        <w:rPr>
          <w:i/>
          <w:color w:val="231F20"/>
          <w:sz w:val="24"/>
        </w:rPr>
        <w:t>members</w:t>
      </w:r>
      <w:r>
        <w:rPr>
          <w:i/>
          <w:color w:val="231F20"/>
          <w:spacing w:val="-3"/>
          <w:sz w:val="24"/>
        </w:rPr>
        <w:t> </w:t>
      </w:r>
      <w:r>
        <w:rPr>
          <w:i/>
          <w:color w:val="231F20"/>
          <w:sz w:val="24"/>
        </w:rPr>
        <w:t>present voted in favor of the motion. This procedure would comply with the requirements for closing an open meeting under the Act.</w:t>
      </w:r>
    </w:p>
    <w:p>
      <w:pPr>
        <w:pStyle w:val="BodyText"/>
        <w:spacing w:before="1"/>
        <w:rPr>
          <w:i/>
        </w:rPr>
      </w:pPr>
    </w:p>
    <w:p>
      <w:pPr>
        <w:spacing w:before="0"/>
        <w:ind w:left="475" w:right="0" w:firstLine="0"/>
        <w:jc w:val="both"/>
        <w:rPr>
          <w:i/>
          <w:sz w:val="24"/>
        </w:rPr>
      </w:pPr>
      <w:bookmarkStart w:name="Example 69:" w:id="188"/>
      <w:bookmarkEnd w:id="188"/>
      <w:r>
        <w:rPr/>
      </w:r>
      <w:r>
        <w:rPr>
          <w:i/>
          <w:color w:val="231F20"/>
          <w:spacing w:val="-3"/>
          <w:sz w:val="24"/>
          <w:u w:val="single" w:color="231F20"/>
        </w:rPr>
        <w:t> </w:t>
      </w:r>
      <w:r>
        <w:rPr>
          <w:i/>
          <w:color w:val="231F20"/>
          <w:sz w:val="24"/>
          <w:u w:val="single" w:color="231F20"/>
        </w:rPr>
        <w:t>Example</w:t>
      </w:r>
      <w:r>
        <w:rPr>
          <w:i/>
          <w:color w:val="231F20"/>
          <w:spacing w:val="-4"/>
          <w:sz w:val="24"/>
          <w:u w:val="single" w:color="231F20"/>
        </w:rPr>
        <w:t> </w:t>
      </w:r>
      <w:r>
        <w:rPr>
          <w:i/>
          <w:color w:val="231F20"/>
          <w:spacing w:val="-5"/>
          <w:sz w:val="24"/>
          <w:u w:val="single" w:color="231F20"/>
        </w:rPr>
        <w:t>69:</w:t>
      </w:r>
    </w:p>
    <w:p>
      <w:pPr>
        <w:pStyle w:val="BodyText"/>
        <w:rPr>
          <w:i/>
        </w:rPr>
      </w:pPr>
    </w:p>
    <w:p>
      <w:pPr>
        <w:spacing w:before="0"/>
        <w:ind w:left="475" w:right="0" w:firstLine="0"/>
        <w:jc w:val="both"/>
        <w:rPr>
          <w:i/>
          <w:sz w:val="24"/>
        </w:rPr>
      </w:pPr>
      <w:r>
        <w:rPr>
          <w:i/>
          <w:color w:val="231F20"/>
          <w:sz w:val="24"/>
        </w:rPr>
        <w:t>A</w:t>
      </w:r>
      <w:r>
        <w:rPr>
          <w:i/>
          <w:color w:val="231F20"/>
          <w:spacing w:val="76"/>
          <w:sz w:val="24"/>
        </w:rPr>
        <w:t> </w:t>
      </w:r>
      <w:r>
        <w:rPr>
          <w:i/>
          <w:color w:val="231F20"/>
          <w:sz w:val="24"/>
        </w:rPr>
        <w:t>city</w:t>
      </w:r>
      <w:r>
        <w:rPr>
          <w:i/>
          <w:color w:val="231F20"/>
          <w:spacing w:val="79"/>
          <w:sz w:val="24"/>
        </w:rPr>
        <w:t> </w:t>
      </w:r>
      <w:r>
        <w:rPr>
          <w:i/>
          <w:color w:val="231F20"/>
          <w:sz w:val="24"/>
        </w:rPr>
        <w:t>council</w:t>
      </w:r>
      <w:r>
        <w:rPr>
          <w:i/>
          <w:color w:val="231F20"/>
          <w:spacing w:val="78"/>
          <w:sz w:val="24"/>
        </w:rPr>
        <w:t> </w:t>
      </w:r>
      <w:r>
        <w:rPr>
          <w:i/>
          <w:color w:val="231F20"/>
          <w:sz w:val="24"/>
        </w:rPr>
        <w:t>has</w:t>
      </w:r>
      <w:r>
        <w:rPr>
          <w:i/>
          <w:color w:val="231F20"/>
          <w:spacing w:val="77"/>
          <w:sz w:val="24"/>
        </w:rPr>
        <w:t> </w:t>
      </w:r>
      <w:r>
        <w:rPr>
          <w:i/>
          <w:color w:val="231F20"/>
          <w:sz w:val="24"/>
        </w:rPr>
        <w:t>been</w:t>
      </w:r>
      <w:r>
        <w:rPr>
          <w:i/>
          <w:color w:val="231F20"/>
          <w:spacing w:val="78"/>
          <w:sz w:val="24"/>
        </w:rPr>
        <w:t> </w:t>
      </w:r>
      <w:r>
        <w:rPr>
          <w:i/>
          <w:color w:val="231F20"/>
          <w:sz w:val="24"/>
        </w:rPr>
        <w:t>sued</w:t>
      </w:r>
      <w:r>
        <w:rPr>
          <w:i/>
          <w:color w:val="231F20"/>
          <w:spacing w:val="78"/>
          <w:sz w:val="24"/>
        </w:rPr>
        <w:t> </w:t>
      </w:r>
      <w:r>
        <w:rPr>
          <w:i/>
          <w:color w:val="231F20"/>
          <w:sz w:val="24"/>
        </w:rPr>
        <w:t>for</w:t>
      </w:r>
      <w:r>
        <w:rPr>
          <w:i/>
          <w:color w:val="231F20"/>
          <w:spacing w:val="77"/>
          <w:sz w:val="24"/>
        </w:rPr>
        <w:t> </w:t>
      </w:r>
      <w:r>
        <w:rPr>
          <w:i/>
          <w:color w:val="231F20"/>
          <w:sz w:val="24"/>
        </w:rPr>
        <w:t>breach</w:t>
      </w:r>
      <w:r>
        <w:rPr>
          <w:i/>
          <w:color w:val="231F20"/>
          <w:spacing w:val="78"/>
          <w:sz w:val="24"/>
        </w:rPr>
        <w:t> </w:t>
      </w:r>
      <w:r>
        <w:rPr>
          <w:i/>
          <w:color w:val="231F20"/>
          <w:spacing w:val="-5"/>
          <w:sz w:val="24"/>
        </w:rPr>
        <w:t>of</w:t>
      </w:r>
    </w:p>
    <w:p>
      <w:pPr>
        <w:spacing w:after="0"/>
        <w:jc w:val="both"/>
        <w:rPr>
          <w:sz w:val="24"/>
        </w:rPr>
        <w:sectPr>
          <w:type w:val="continuous"/>
          <w:pgSz w:w="12240" w:h="15840"/>
          <w:pgMar w:header="660" w:footer="484" w:top="480" w:bottom="280" w:left="360" w:right="240"/>
          <w:cols w:num="2" w:equalWidth="0">
            <w:col w:w="5200" w:space="682"/>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contract by a former employee. During an open</w:t>
      </w:r>
      <w:r>
        <w:rPr>
          <w:i/>
          <w:color w:val="231F20"/>
          <w:sz w:val="24"/>
        </w:rPr>
        <w:t> meeting of the council, one member moves to close the meeting to discuss the status of the</w:t>
      </w:r>
      <w:r>
        <w:rPr>
          <w:i/>
          <w:color w:val="231F20"/>
          <w:spacing w:val="40"/>
          <w:sz w:val="24"/>
        </w:rPr>
        <w:t> </w:t>
      </w:r>
      <w:r>
        <w:rPr>
          <w:i/>
          <w:color w:val="231F20"/>
          <w:sz w:val="24"/>
        </w:rPr>
        <w:t>case with the city attorney, citing both the limited personnel and litigation exceptions. If</w:t>
      </w:r>
      <w:r>
        <w:rPr>
          <w:i/>
          <w:color w:val="231F20"/>
          <w:spacing w:val="40"/>
          <w:sz w:val="24"/>
        </w:rPr>
        <w:t> </w:t>
      </w:r>
      <w:r>
        <w:rPr>
          <w:i/>
          <w:color w:val="231F20"/>
          <w:sz w:val="24"/>
        </w:rPr>
        <w:t>the council votes to defeat the motion, the</w:t>
      </w:r>
      <w:r>
        <w:rPr>
          <w:i/>
          <w:color w:val="231F20"/>
          <w:spacing w:val="80"/>
          <w:sz w:val="24"/>
        </w:rPr>
        <w:t> </w:t>
      </w:r>
      <w:r>
        <w:rPr>
          <w:i/>
          <w:color w:val="231F20"/>
          <w:sz w:val="24"/>
        </w:rPr>
        <w:t>matter is discussed in open session. If the</w:t>
      </w:r>
      <w:r>
        <w:rPr>
          <w:i/>
          <w:color w:val="231F20"/>
          <w:spacing w:val="40"/>
          <w:sz w:val="24"/>
        </w:rPr>
        <w:t> </w:t>
      </w:r>
      <w:r>
        <w:rPr>
          <w:i/>
          <w:color w:val="231F20"/>
          <w:sz w:val="24"/>
        </w:rPr>
        <w:t>motion passes, any final action taken by the council involving the hiring, </w:t>
      </w:r>
      <w:r>
        <w:rPr>
          <w:i/>
          <w:color w:val="231F20"/>
          <w:sz w:val="24"/>
        </w:rPr>
        <w:t>promotion, demotion, dismissal, assignment or resignation of the former employee must be taken in open session due to the restriction of Section 10-15- 1(H)(2).</w:t>
      </w:r>
      <w:r>
        <w:rPr>
          <w:i/>
          <w:color w:val="231F20"/>
          <w:spacing w:val="-1"/>
          <w:sz w:val="24"/>
        </w:rPr>
        <w:t> </w:t>
      </w:r>
      <w:r>
        <w:rPr>
          <w:i/>
          <w:color w:val="231F20"/>
          <w:sz w:val="24"/>
        </w:rPr>
        <w:t>A</w:t>
      </w:r>
      <w:r>
        <w:rPr>
          <w:i/>
          <w:color w:val="231F20"/>
          <w:spacing w:val="-1"/>
          <w:sz w:val="24"/>
        </w:rPr>
        <w:t> </w:t>
      </w:r>
      <w:r>
        <w:rPr>
          <w:i/>
          <w:color w:val="231F20"/>
          <w:sz w:val="24"/>
        </w:rPr>
        <w:t>final decision as to how to defend the charges alleged in the lawsuit, however, could remain confidential under the litigation </w:t>
      </w:r>
      <w:r>
        <w:rPr>
          <w:i/>
          <w:color w:val="231F20"/>
          <w:spacing w:val="-2"/>
          <w:sz w:val="24"/>
        </w:rPr>
        <w:t>exception.</w:t>
      </w:r>
    </w:p>
    <w:p>
      <w:pPr>
        <w:pStyle w:val="BodyText"/>
        <w:rPr>
          <w:i/>
        </w:rPr>
      </w:pPr>
    </w:p>
    <w:p>
      <w:pPr>
        <w:pStyle w:val="BodyText"/>
        <w:ind w:left="475"/>
      </w:pPr>
      <w:bookmarkStart w:name="Commentary" w:id="189"/>
      <w:bookmarkEnd w:id="189"/>
      <w:r>
        <w:rPr/>
      </w:r>
      <w:r>
        <w:rPr>
          <w:color w:val="231F20"/>
          <w:spacing w:val="-2"/>
          <w:u w:val="single" w:color="231F20"/>
        </w:rPr>
        <w:t>Commentary</w:t>
      </w:r>
    </w:p>
    <w:p>
      <w:pPr>
        <w:pStyle w:val="BodyText"/>
        <w:spacing w:before="90"/>
        <w:ind w:left="475" w:right="595"/>
        <w:jc w:val="both"/>
      </w:pPr>
      <w:r>
        <w:rPr/>
        <w:br w:type="column"/>
      </w:r>
      <w:r>
        <w:rPr>
          <w:color w:val="231F20"/>
        </w:rPr>
        <w:t>A public body</w:t>
      </w:r>
      <w:r>
        <w:rPr>
          <w:color w:val="231F20"/>
          <w:spacing w:val="-2"/>
        </w:rPr>
        <w:t> </w:t>
      </w:r>
      <w:r>
        <w:rPr>
          <w:color w:val="231F20"/>
        </w:rPr>
        <w:t>may</w:t>
      </w:r>
      <w:r>
        <w:rPr>
          <w:color w:val="231F20"/>
          <w:spacing w:val="-2"/>
        </w:rPr>
        <w:t> </w:t>
      </w:r>
      <w:r>
        <w:rPr>
          <w:color w:val="231F20"/>
        </w:rPr>
        <w:t>sometimes need to meet in a special meeting to discuss only a matter that is covered by one of the exceptions defined in Section 10-15-1(H)</w:t>
      </w:r>
      <w:r>
        <w:rPr>
          <w:color w:val="231F20"/>
        </w:rPr>
        <w:t> of</w:t>
      </w:r>
      <w:r>
        <w:rPr>
          <w:color w:val="231F20"/>
        </w:rPr>
        <w:t> the</w:t>
      </w:r>
      <w:r>
        <w:rPr>
          <w:color w:val="231F20"/>
        </w:rPr>
        <w:t> Act. Under those limited circumstances, the public body must</w:t>
      </w:r>
      <w:r>
        <w:rPr>
          <w:color w:val="231F20"/>
          <w:spacing w:val="40"/>
        </w:rPr>
        <w:t> </w:t>
      </w:r>
      <w:r>
        <w:rPr>
          <w:color w:val="231F20"/>
        </w:rPr>
        <w:t>give notice of the meeting to its members and to the public in accordance with its policy regarding notice of special meetings or as may be reasonable under the circumstances. Such notice must state the exception to the Act or other legal authority that authorizes the closed meeting and must state the subject to be discussed with reasonable specificity. When noticed properly, these closed meetings may</w:t>
      </w:r>
      <w:r>
        <w:rPr>
          <w:color w:val="231F20"/>
          <w:spacing w:val="40"/>
        </w:rPr>
        <w:t> </w:t>
      </w:r>
      <w:r>
        <w:rPr>
          <w:color w:val="231F20"/>
        </w:rPr>
        <w:t>take place without having an open session</w:t>
      </w:r>
      <w:r>
        <w:rPr>
          <w:color w:val="231F20"/>
          <w:spacing w:val="40"/>
        </w:rPr>
        <w:t> </w:t>
      </w:r>
      <w:r>
        <w:rPr>
          <w:color w:val="231F20"/>
        </w:rPr>
        <w:t>before or after the meeting.</w:t>
      </w:r>
    </w:p>
    <w:p>
      <w:pPr>
        <w:pStyle w:val="BodyText"/>
      </w:pPr>
    </w:p>
    <w:p>
      <w:pPr>
        <w:spacing w:before="0"/>
        <w:ind w:left="475" w:right="0" w:firstLine="0"/>
        <w:jc w:val="both"/>
        <w:rPr>
          <w:i/>
          <w:sz w:val="24"/>
        </w:rPr>
      </w:pPr>
      <w:bookmarkStart w:name="Example 70:" w:id="190"/>
      <w:bookmarkEnd w:id="19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70:</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2"/>
        <w:rPr>
          <w:i/>
          <w:sz w:val="16"/>
        </w:rPr>
      </w:pPr>
    </w:p>
    <w:p>
      <w:pPr>
        <w:spacing w:after="0"/>
        <w:rPr>
          <w:sz w:val="16"/>
        </w:rPr>
        <w:sectPr>
          <w:type w:val="continuous"/>
          <w:pgSz w:w="12240" w:h="15840"/>
          <w:pgMar w:header="660" w:footer="484" w:top="480" w:bottom="280" w:left="360" w:right="240"/>
        </w:sectPr>
      </w:pPr>
    </w:p>
    <w:p>
      <w:pPr>
        <w:pStyle w:val="BodyText"/>
        <w:spacing w:before="90"/>
        <w:ind w:left="475" w:right="39"/>
        <w:jc w:val="both"/>
      </w:pPr>
      <w:r>
        <w:rPr>
          <w:color w:val="231F20"/>
        </w:rPr>
        <w:t>Unless an action requiring a vote in public is to be taken, the public body may adjourn the</w:t>
      </w:r>
      <w:r>
        <w:rPr>
          <w:color w:val="231F20"/>
          <w:spacing w:val="40"/>
        </w:rPr>
        <w:t> </w:t>
      </w:r>
      <w:r>
        <w:rPr>
          <w:color w:val="231F20"/>
        </w:rPr>
        <w:t>public meeting when it goes into closed session and not return to public session after it completes its closed meeting. If the public body does re-open the meeting after a closed session, the public body may follow whatever</w:t>
      </w:r>
      <w:r>
        <w:rPr>
          <w:color w:val="231F20"/>
          <w:spacing w:val="40"/>
        </w:rPr>
        <w:t> </w:t>
      </w:r>
      <w:r>
        <w:rPr>
          <w:color w:val="231F20"/>
        </w:rPr>
        <w:t>procedures it deems appropriate. The Act does not have any requirements for returning to open session after a closed session.</w:t>
      </w:r>
    </w:p>
    <w:p>
      <w:pPr>
        <w:pStyle w:val="BodyText"/>
      </w:pPr>
    </w:p>
    <w:p>
      <w:pPr>
        <w:pStyle w:val="ListParagraph"/>
        <w:numPr>
          <w:ilvl w:val="1"/>
          <w:numId w:val="13"/>
        </w:numPr>
        <w:tabs>
          <w:tab w:pos="716" w:val="left" w:leader="none"/>
        </w:tabs>
        <w:spacing w:line="240" w:lineRule="auto" w:before="0" w:after="0"/>
        <w:ind w:left="715" w:right="0" w:hanging="241"/>
        <w:jc w:val="left"/>
        <w:rPr>
          <w:sz w:val="24"/>
        </w:rPr>
      </w:pPr>
      <w:r>
        <w:rPr/>
        <w:pict>
          <v:rect style="position:absolute;margin-left:184.679993pt;margin-top:12.524124pt;width:3pt;height:.599pt;mso-position-horizontal-relative:page;mso-position-vertical-relative:paragraph;z-index:15736832" id="docshape20" filled="true" fillcolor="#000000" stroked="false">
            <v:fill type="solid"/>
            <w10:wrap type="none"/>
          </v:rect>
        </w:pict>
      </w:r>
      <w:bookmarkStart w:name="2. Closed Meeting Outside an Open Meetin" w:id="191"/>
      <w:bookmarkEnd w:id="191"/>
      <w:r>
        <w:rPr>
          <w:color w:val="231F20"/>
          <w:sz w:val="24"/>
          <w:u w:val="single" w:color="231F20"/>
        </w:rPr>
        <w:t>C</w:t>
      </w:r>
      <w:r>
        <w:rPr>
          <w:color w:val="231F20"/>
          <w:sz w:val="24"/>
          <w:u w:val="single" w:color="231F20"/>
        </w:rPr>
        <w:t>losed</w:t>
      </w:r>
      <w:r>
        <w:rPr>
          <w:color w:val="231F20"/>
          <w:spacing w:val="-3"/>
          <w:sz w:val="24"/>
          <w:u w:val="single" w:color="231F20"/>
        </w:rPr>
        <w:t> </w:t>
      </w:r>
      <w:r>
        <w:rPr>
          <w:color w:val="231F20"/>
          <w:sz w:val="24"/>
          <w:u w:val="single" w:color="231F20"/>
        </w:rPr>
        <w:t>Meeting</w:t>
      </w:r>
      <w:r>
        <w:rPr>
          <w:color w:val="231F20"/>
          <w:spacing w:val="-5"/>
          <w:sz w:val="24"/>
          <w:u w:val="single" w:color="231F20"/>
        </w:rPr>
        <w:t> </w:t>
      </w:r>
      <w:r>
        <w:rPr>
          <w:color w:val="231F20"/>
          <w:sz w:val="24"/>
          <w:u w:val="single" w:color="231F20"/>
        </w:rPr>
        <w:t>Outside</w:t>
      </w:r>
      <w:r>
        <w:rPr>
          <w:color w:val="231F20"/>
          <w:spacing w:val="-4"/>
          <w:sz w:val="24"/>
          <w:u w:val="single" w:color="231F20"/>
        </w:rPr>
        <w:t> </w:t>
      </w:r>
      <w:r>
        <w:rPr>
          <w:color w:val="231F20"/>
          <w:sz w:val="24"/>
          <w:u w:val="single" w:color="231F20"/>
        </w:rPr>
        <w:t>an</w:t>
      </w:r>
      <w:r>
        <w:rPr>
          <w:color w:val="231F20"/>
          <w:spacing w:val="-1"/>
          <w:sz w:val="24"/>
        </w:rPr>
        <w:t> </w:t>
      </w:r>
      <w:r>
        <w:rPr>
          <w:color w:val="231F20"/>
          <w:sz w:val="24"/>
          <w:u w:val="single" w:color="231F20"/>
        </w:rPr>
        <w:t>Open</w:t>
      </w:r>
      <w:r>
        <w:rPr>
          <w:color w:val="231F20"/>
          <w:spacing w:val="-3"/>
          <w:sz w:val="24"/>
          <w:u w:val="single" w:color="231F20"/>
        </w:rPr>
        <w:t> </w:t>
      </w:r>
      <w:r>
        <w:rPr>
          <w:color w:val="231F20"/>
          <w:spacing w:val="-2"/>
          <w:sz w:val="24"/>
          <w:u w:val="single" w:color="231F20"/>
        </w:rPr>
        <w:t>Meeting</w:t>
      </w:r>
    </w:p>
    <w:p>
      <w:pPr>
        <w:pStyle w:val="BodyText"/>
        <w:spacing w:before="5"/>
      </w:pPr>
    </w:p>
    <w:p>
      <w:pPr>
        <w:spacing w:before="0"/>
        <w:ind w:left="475" w:right="0" w:firstLine="0"/>
        <w:jc w:val="both"/>
        <w:rPr>
          <w:b/>
          <w:sz w:val="24"/>
        </w:rPr>
      </w:pPr>
      <w:bookmarkStart w:name="The Law" w:id="192"/>
      <w:bookmarkEnd w:id="192"/>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line="240" w:lineRule="auto" w:before="0"/>
        <w:ind w:left="475" w:right="39" w:firstLine="0"/>
        <w:jc w:val="both"/>
        <w:rPr>
          <w:b/>
          <w:sz w:val="24"/>
        </w:rPr>
      </w:pPr>
      <w:r>
        <w:rPr>
          <w:b/>
          <w:color w:val="231F20"/>
          <w:sz w:val="24"/>
        </w:rPr>
        <w:t>If</w:t>
      </w:r>
      <w:r>
        <w:rPr>
          <w:b/>
          <w:color w:val="231F20"/>
          <w:sz w:val="24"/>
        </w:rPr>
        <w:t> any meeting is closed pursuant to the exclusions contained in Subsection (H) of this section, the closure: ...</w:t>
      </w:r>
    </w:p>
    <w:p>
      <w:pPr>
        <w:pStyle w:val="BodyText"/>
        <w:spacing w:before="9"/>
        <w:rPr>
          <w:b/>
          <w:sz w:val="23"/>
        </w:rPr>
      </w:pPr>
    </w:p>
    <w:p>
      <w:pPr>
        <w:spacing w:before="0"/>
        <w:ind w:left="475" w:right="38" w:firstLine="360"/>
        <w:jc w:val="both"/>
        <w:rPr>
          <w:b/>
          <w:sz w:val="24"/>
        </w:rPr>
      </w:pPr>
      <w:r>
        <w:rPr>
          <w:b/>
          <w:color w:val="231F20"/>
          <w:sz w:val="24"/>
        </w:rPr>
        <w:t>(2)</w:t>
      </w:r>
      <w:r>
        <w:rPr>
          <w:b/>
          <w:color w:val="231F20"/>
          <w:sz w:val="24"/>
        </w:rPr>
        <w:t> If</w:t>
      </w:r>
      <w:r>
        <w:rPr>
          <w:b/>
          <w:color w:val="231F20"/>
          <w:sz w:val="24"/>
        </w:rPr>
        <w:t> called for when the policymaking body is not in an open meeting, shall not be held until public notice,</w:t>
      </w:r>
      <w:r>
        <w:rPr>
          <w:b/>
          <w:color w:val="231F20"/>
          <w:sz w:val="24"/>
        </w:rPr>
        <w:t> appropriate under the circumstances, stating the specific provision of the law authorizing the closed meeting and stating with reasonable specificity</w:t>
      </w:r>
      <w:r>
        <w:rPr>
          <w:b/>
          <w:color w:val="231F20"/>
          <w:spacing w:val="-3"/>
          <w:sz w:val="24"/>
        </w:rPr>
        <w:t> </w:t>
      </w:r>
      <w:r>
        <w:rPr>
          <w:b/>
          <w:color w:val="231F20"/>
          <w:sz w:val="24"/>
        </w:rPr>
        <w:t>the</w:t>
      </w:r>
      <w:r>
        <w:rPr>
          <w:b/>
          <w:color w:val="231F20"/>
          <w:spacing w:val="-4"/>
          <w:sz w:val="24"/>
        </w:rPr>
        <w:t> </w:t>
      </w:r>
      <w:r>
        <w:rPr>
          <w:b/>
          <w:color w:val="231F20"/>
          <w:sz w:val="24"/>
        </w:rPr>
        <w:t>subject</w:t>
      </w:r>
      <w:r>
        <w:rPr>
          <w:b/>
          <w:color w:val="231F20"/>
          <w:spacing w:val="-4"/>
          <w:sz w:val="24"/>
        </w:rPr>
        <w:t> </w:t>
      </w:r>
      <w:r>
        <w:rPr>
          <w:b/>
          <w:color w:val="231F20"/>
          <w:sz w:val="24"/>
        </w:rPr>
        <w:t>to</w:t>
      </w:r>
      <w:r>
        <w:rPr>
          <w:b/>
          <w:color w:val="231F20"/>
          <w:spacing w:val="-3"/>
          <w:sz w:val="24"/>
        </w:rPr>
        <w:t> </w:t>
      </w:r>
      <w:r>
        <w:rPr>
          <w:b/>
          <w:color w:val="231F20"/>
          <w:sz w:val="24"/>
        </w:rPr>
        <w:t>be</w:t>
      </w:r>
      <w:r>
        <w:rPr>
          <w:b/>
          <w:color w:val="231F20"/>
          <w:spacing w:val="-4"/>
          <w:sz w:val="24"/>
        </w:rPr>
        <w:t> </w:t>
      </w:r>
      <w:r>
        <w:rPr>
          <w:b/>
          <w:color w:val="231F20"/>
          <w:sz w:val="24"/>
        </w:rPr>
        <w:t>discussed,</w:t>
      </w:r>
      <w:r>
        <w:rPr>
          <w:b/>
          <w:color w:val="231F20"/>
          <w:spacing w:val="-4"/>
          <w:sz w:val="24"/>
        </w:rPr>
        <w:t> </w:t>
      </w:r>
      <w:r>
        <w:rPr>
          <w:b/>
          <w:color w:val="231F20"/>
          <w:sz w:val="24"/>
        </w:rPr>
        <w:t>is</w:t>
      </w:r>
      <w:r>
        <w:rPr>
          <w:b/>
          <w:color w:val="231F20"/>
          <w:spacing w:val="-3"/>
          <w:sz w:val="24"/>
        </w:rPr>
        <w:t> </w:t>
      </w:r>
      <w:r>
        <w:rPr>
          <w:b/>
          <w:color w:val="231F20"/>
          <w:sz w:val="24"/>
        </w:rPr>
        <w:t>given to the members and to the general public.</w:t>
      </w:r>
    </w:p>
    <w:p>
      <w:pPr>
        <w:pStyle w:val="BodyText"/>
        <w:spacing w:before="7"/>
        <w:rPr>
          <w:b/>
          <w:sz w:val="23"/>
        </w:rPr>
      </w:pPr>
    </w:p>
    <w:p>
      <w:pPr>
        <w:pStyle w:val="BodyText"/>
        <w:ind w:left="475"/>
      </w:pPr>
      <w:bookmarkStart w:name="Commentary" w:id="193"/>
      <w:bookmarkEnd w:id="193"/>
      <w:r>
        <w:rPr/>
      </w:r>
      <w:r>
        <w:rPr>
          <w:color w:val="231F20"/>
          <w:spacing w:val="-2"/>
          <w:u w:val="single" w:color="231F20"/>
        </w:rPr>
        <w:t>Commentary</w:t>
      </w:r>
    </w:p>
    <w:p>
      <w:pPr>
        <w:spacing w:before="90"/>
        <w:ind w:left="475" w:right="597" w:firstLine="0"/>
        <w:jc w:val="both"/>
        <w:rPr>
          <w:i/>
          <w:sz w:val="24"/>
        </w:rPr>
      </w:pPr>
      <w:r>
        <w:rPr/>
        <w:br w:type="column"/>
      </w:r>
      <w:r>
        <w:rPr>
          <w:i/>
          <w:color w:val="231F20"/>
          <w:sz w:val="24"/>
        </w:rPr>
        <w:t>A county commission’s resolution provides that</w:t>
      </w:r>
      <w:r>
        <w:rPr>
          <w:i/>
          <w:color w:val="231F20"/>
          <w:sz w:val="24"/>
        </w:rPr>
        <w:t> the chair may call a special meeting on 3 days notice</w:t>
      </w:r>
      <w:r>
        <w:rPr>
          <w:i/>
          <w:color w:val="231F20"/>
          <w:spacing w:val="-2"/>
          <w:sz w:val="24"/>
        </w:rPr>
        <w:t> </w:t>
      </w:r>
      <w:r>
        <w:rPr>
          <w:i/>
          <w:color w:val="231F20"/>
          <w:sz w:val="24"/>
        </w:rPr>
        <w:t>by</w:t>
      </w:r>
      <w:r>
        <w:rPr>
          <w:i/>
          <w:color w:val="231F20"/>
          <w:spacing w:val="-2"/>
          <w:sz w:val="24"/>
        </w:rPr>
        <w:t> </w:t>
      </w:r>
      <w:r>
        <w:rPr>
          <w:i/>
          <w:color w:val="231F20"/>
          <w:sz w:val="24"/>
        </w:rPr>
        <w:t>posting</w:t>
      </w:r>
      <w:r>
        <w:rPr>
          <w:i/>
          <w:color w:val="231F20"/>
          <w:spacing w:val="-2"/>
          <w:sz w:val="24"/>
        </w:rPr>
        <w:t> </w:t>
      </w:r>
      <w:r>
        <w:rPr>
          <w:i/>
          <w:color w:val="231F20"/>
          <w:sz w:val="24"/>
        </w:rPr>
        <w:t>the</w:t>
      </w:r>
      <w:r>
        <w:rPr>
          <w:i/>
          <w:color w:val="231F20"/>
          <w:spacing w:val="-2"/>
          <w:sz w:val="24"/>
        </w:rPr>
        <w:t> </w:t>
      </w:r>
      <w:r>
        <w:rPr>
          <w:i/>
          <w:color w:val="231F20"/>
          <w:sz w:val="24"/>
        </w:rPr>
        <w:t>notice</w:t>
      </w:r>
      <w:r>
        <w:rPr>
          <w:i/>
          <w:color w:val="231F20"/>
          <w:spacing w:val="-2"/>
          <w:sz w:val="24"/>
        </w:rPr>
        <w:t> </w:t>
      </w:r>
      <w:r>
        <w:rPr>
          <w:i/>
          <w:color w:val="231F20"/>
          <w:sz w:val="24"/>
        </w:rPr>
        <w:t>of</w:t>
      </w:r>
      <w:r>
        <w:rPr>
          <w:i/>
          <w:color w:val="231F20"/>
          <w:spacing w:val="-2"/>
          <w:sz w:val="24"/>
        </w:rPr>
        <w:t> </w:t>
      </w:r>
      <w:r>
        <w:rPr>
          <w:i/>
          <w:color w:val="231F20"/>
          <w:sz w:val="24"/>
        </w:rPr>
        <w:t>the</w:t>
      </w:r>
      <w:r>
        <w:rPr>
          <w:i/>
          <w:color w:val="231F20"/>
          <w:spacing w:val="-2"/>
          <w:sz w:val="24"/>
        </w:rPr>
        <w:t> </w:t>
      </w:r>
      <w:r>
        <w:rPr>
          <w:i/>
          <w:color w:val="231F20"/>
          <w:sz w:val="24"/>
        </w:rPr>
        <w:t>meeting</w:t>
      </w:r>
      <w:r>
        <w:rPr>
          <w:i/>
          <w:color w:val="231F20"/>
          <w:spacing w:val="-2"/>
          <w:sz w:val="24"/>
        </w:rPr>
        <w:t> </w:t>
      </w:r>
      <w:r>
        <w:rPr>
          <w:i/>
          <w:color w:val="231F20"/>
          <w:sz w:val="24"/>
        </w:rPr>
        <w:t>at</w:t>
      </w:r>
      <w:r>
        <w:rPr>
          <w:i/>
          <w:color w:val="231F20"/>
          <w:spacing w:val="-2"/>
          <w:sz w:val="24"/>
        </w:rPr>
        <w:t> </w:t>
      </w:r>
      <w:r>
        <w:rPr>
          <w:i/>
          <w:color w:val="231F20"/>
          <w:sz w:val="24"/>
        </w:rPr>
        <w:t>the county courthouse and publishing the notice in the local daily newspaper. The chair discovers that</w:t>
      </w:r>
      <w:r>
        <w:rPr>
          <w:i/>
          <w:color w:val="231F20"/>
          <w:spacing w:val="-2"/>
          <w:sz w:val="24"/>
        </w:rPr>
        <w:t> </w:t>
      </w:r>
      <w:r>
        <w:rPr>
          <w:i/>
          <w:color w:val="231F20"/>
          <w:sz w:val="24"/>
        </w:rPr>
        <w:t>the</w:t>
      </w:r>
      <w:r>
        <w:rPr>
          <w:i/>
          <w:color w:val="231F20"/>
          <w:spacing w:val="-3"/>
          <w:sz w:val="24"/>
        </w:rPr>
        <w:t> </w:t>
      </w:r>
      <w:r>
        <w:rPr>
          <w:i/>
          <w:color w:val="231F20"/>
          <w:sz w:val="24"/>
        </w:rPr>
        <w:t>board</w:t>
      </w:r>
      <w:r>
        <w:rPr>
          <w:i/>
          <w:color w:val="231F20"/>
          <w:spacing w:val="-2"/>
          <w:sz w:val="24"/>
        </w:rPr>
        <w:t> </w:t>
      </w:r>
      <w:r>
        <w:rPr>
          <w:i/>
          <w:color w:val="231F20"/>
          <w:sz w:val="24"/>
        </w:rPr>
        <w:t>must</w:t>
      </w:r>
      <w:r>
        <w:rPr>
          <w:i/>
          <w:color w:val="231F20"/>
          <w:spacing w:val="-2"/>
          <w:sz w:val="24"/>
        </w:rPr>
        <w:t> </w:t>
      </w:r>
      <w:r>
        <w:rPr>
          <w:i/>
          <w:color w:val="231F20"/>
          <w:sz w:val="24"/>
        </w:rPr>
        <w:t>make</w:t>
      </w:r>
      <w:r>
        <w:rPr>
          <w:i/>
          <w:color w:val="231F20"/>
          <w:spacing w:val="-1"/>
          <w:sz w:val="24"/>
        </w:rPr>
        <w:t> </w:t>
      </w:r>
      <w:r>
        <w:rPr>
          <w:i/>
          <w:color w:val="231F20"/>
          <w:sz w:val="24"/>
        </w:rPr>
        <w:t>an</w:t>
      </w:r>
      <w:r>
        <w:rPr>
          <w:i/>
          <w:color w:val="231F20"/>
          <w:spacing w:val="-2"/>
          <w:sz w:val="24"/>
        </w:rPr>
        <w:t> </w:t>
      </w:r>
      <w:r>
        <w:rPr>
          <w:i/>
          <w:color w:val="231F20"/>
          <w:sz w:val="24"/>
        </w:rPr>
        <w:t>immediate</w:t>
      </w:r>
      <w:r>
        <w:rPr>
          <w:i/>
          <w:color w:val="231F20"/>
          <w:spacing w:val="-3"/>
          <w:sz w:val="24"/>
        </w:rPr>
        <w:t> </w:t>
      </w:r>
      <w:r>
        <w:rPr>
          <w:i/>
          <w:color w:val="231F20"/>
          <w:sz w:val="24"/>
        </w:rPr>
        <w:t>decision with respect to the purchase of some land in the county and determines that it is necessary to</w:t>
      </w:r>
      <w:r>
        <w:rPr>
          <w:i/>
          <w:color w:val="231F20"/>
          <w:spacing w:val="40"/>
          <w:sz w:val="24"/>
        </w:rPr>
        <w:t> </w:t>
      </w:r>
      <w:r>
        <w:rPr>
          <w:i/>
          <w:color w:val="231F20"/>
          <w:sz w:val="24"/>
        </w:rPr>
        <w:t>call a special meeting for that purpose. In addition to the date, time and place of the meeting, the notice states the following in compliance with Section 10-15-1(I)(2):</w:t>
      </w:r>
    </w:p>
    <w:p>
      <w:pPr>
        <w:pStyle w:val="BodyText"/>
        <w:rPr>
          <w:i/>
        </w:rPr>
      </w:pPr>
    </w:p>
    <w:p>
      <w:pPr>
        <w:spacing w:line="240" w:lineRule="auto" w:before="0"/>
        <w:ind w:left="655" w:right="687" w:firstLine="0"/>
        <w:jc w:val="both"/>
        <w:rPr>
          <w:i/>
          <w:sz w:val="24"/>
        </w:rPr>
      </w:pPr>
      <w:r>
        <w:rPr>
          <w:i/>
          <w:color w:val="231F20"/>
          <w:sz w:val="24"/>
        </w:rPr>
        <w:t>THIS MEETING IS CALLED TO DISCUSS</w:t>
      </w:r>
      <w:r>
        <w:rPr>
          <w:i/>
          <w:color w:val="231F20"/>
          <w:sz w:val="24"/>
        </w:rPr>
        <w:t> THE PURCHASE OF LAND AND SHALL</w:t>
      </w:r>
      <w:r>
        <w:rPr>
          <w:i/>
          <w:color w:val="231F20"/>
          <w:spacing w:val="40"/>
          <w:sz w:val="24"/>
        </w:rPr>
        <w:t> </w:t>
      </w:r>
      <w:r>
        <w:rPr>
          <w:i/>
          <w:color w:val="231F20"/>
          <w:sz w:val="24"/>
        </w:rPr>
        <w:t>BE CLOSED TO THE PUBLIC PURSUANT TO NMSA 1978, SECTION 10-15-1(H)(8).</w:t>
      </w:r>
    </w:p>
    <w:p>
      <w:pPr>
        <w:pStyle w:val="BodyText"/>
        <w:spacing w:before="9"/>
        <w:rPr>
          <w:i/>
          <w:sz w:val="23"/>
        </w:rPr>
      </w:pPr>
    </w:p>
    <w:p>
      <w:pPr>
        <w:pStyle w:val="BodyText"/>
        <w:spacing w:before="1"/>
        <w:ind w:left="475"/>
      </w:pPr>
      <w:bookmarkStart w:name="Commentary" w:id="194"/>
      <w:bookmarkEnd w:id="194"/>
      <w:r>
        <w:rPr/>
      </w:r>
      <w:r>
        <w:rPr>
          <w:color w:val="231F20"/>
          <w:spacing w:val="-2"/>
          <w:u w:val="single" w:color="231F20"/>
        </w:rPr>
        <w:t>Commentary</w:t>
      </w:r>
    </w:p>
    <w:p>
      <w:pPr>
        <w:pStyle w:val="BodyText"/>
        <w:spacing w:before="11"/>
        <w:rPr>
          <w:sz w:val="23"/>
        </w:rPr>
      </w:pPr>
    </w:p>
    <w:p>
      <w:pPr>
        <w:pStyle w:val="BodyText"/>
        <w:ind w:left="475" w:right="598"/>
        <w:jc w:val="both"/>
      </w:pPr>
      <w:r>
        <w:rPr>
          <w:color w:val="231F20"/>
        </w:rPr>
        <w:t>At a closed meeting held outside of an open meeting,</w:t>
      </w:r>
      <w:r>
        <w:rPr>
          <w:color w:val="231F20"/>
          <w:spacing w:val="-3"/>
        </w:rPr>
        <w:t> </w:t>
      </w:r>
      <w:r>
        <w:rPr>
          <w:color w:val="231F20"/>
        </w:rPr>
        <w:t>topics</w:t>
      </w:r>
      <w:r>
        <w:rPr>
          <w:color w:val="231F20"/>
          <w:spacing w:val="-4"/>
        </w:rPr>
        <w:t> </w:t>
      </w:r>
      <w:r>
        <w:rPr>
          <w:color w:val="231F20"/>
        </w:rPr>
        <w:t>that</w:t>
      </w:r>
      <w:r>
        <w:rPr>
          <w:color w:val="231F20"/>
          <w:spacing w:val="-3"/>
        </w:rPr>
        <w:t> </w:t>
      </w:r>
      <w:r>
        <w:rPr>
          <w:color w:val="231F20"/>
        </w:rPr>
        <w:t>are</w:t>
      </w:r>
      <w:r>
        <w:rPr>
          <w:color w:val="231F20"/>
          <w:spacing w:val="-4"/>
        </w:rPr>
        <w:t> </w:t>
      </w:r>
      <w:r>
        <w:rPr>
          <w:color w:val="231F20"/>
        </w:rPr>
        <w:t>not</w:t>
      </w:r>
      <w:r>
        <w:rPr>
          <w:color w:val="231F20"/>
          <w:spacing w:val="-4"/>
        </w:rPr>
        <w:t> </w:t>
      </w:r>
      <w:r>
        <w:rPr>
          <w:color w:val="231F20"/>
        </w:rPr>
        <w:t>covered</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notice may not be discussed and no ordinary business, such as the approval of minutes from the </w:t>
      </w:r>
      <w:r>
        <w:rPr>
          <w:color w:val="231F20"/>
        </w:rPr>
        <w:t>last meeting, may be conducted.</w:t>
      </w:r>
    </w:p>
    <w:p>
      <w:pPr>
        <w:pStyle w:val="BodyText"/>
      </w:pPr>
    </w:p>
    <w:p>
      <w:pPr>
        <w:spacing w:before="0"/>
        <w:ind w:left="475" w:right="0" w:firstLine="0"/>
        <w:jc w:val="left"/>
        <w:rPr>
          <w:i/>
          <w:sz w:val="24"/>
        </w:rPr>
      </w:pPr>
      <w:bookmarkStart w:name="Example 71:" w:id="195"/>
      <w:bookmarkEnd w:id="19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71:</w:t>
      </w:r>
    </w:p>
    <w:p>
      <w:pPr>
        <w:pStyle w:val="BodyText"/>
        <w:rPr>
          <w:i/>
        </w:rPr>
      </w:pPr>
    </w:p>
    <w:p>
      <w:pPr>
        <w:spacing w:before="0"/>
        <w:ind w:left="475" w:right="599" w:firstLine="0"/>
        <w:jc w:val="left"/>
        <w:rPr>
          <w:i/>
          <w:sz w:val="24"/>
        </w:rPr>
      </w:pPr>
      <w:r>
        <w:rPr>
          <w:i/>
          <w:color w:val="231F20"/>
          <w:sz w:val="24"/>
        </w:rPr>
        <w:t>A member of a municipality’s governing board</w:t>
      </w:r>
      <w:r>
        <w:rPr>
          <w:i/>
          <w:color w:val="231F20"/>
          <w:sz w:val="24"/>
        </w:rPr>
        <w:t> is</w:t>
      </w:r>
      <w:r>
        <w:rPr>
          <w:i/>
          <w:color w:val="231F20"/>
          <w:spacing w:val="27"/>
          <w:sz w:val="24"/>
        </w:rPr>
        <w:t>  </w:t>
      </w:r>
      <w:r>
        <w:rPr>
          <w:i/>
          <w:color w:val="231F20"/>
          <w:sz w:val="24"/>
        </w:rPr>
        <w:t>informed</w:t>
      </w:r>
      <w:r>
        <w:rPr>
          <w:i/>
          <w:color w:val="231F20"/>
          <w:spacing w:val="28"/>
          <w:sz w:val="24"/>
        </w:rPr>
        <w:t>  </w:t>
      </w:r>
      <w:r>
        <w:rPr>
          <w:i/>
          <w:color w:val="231F20"/>
          <w:sz w:val="24"/>
        </w:rPr>
        <w:t>at</w:t>
      </w:r>
      <w:r>
        <w:rPr>
          <w:i/>
          <w:color w:val="231F20"/>
          <w:spacing w:val="28"/>
          <w:sz w:val="24"/>
        </w:rPr>
        <w:t>  </w:t>
      </w:r>
      <w:r>
        <w:rPr>
          <w:i/>
          <w:color w:val="231F20"/>
          <w:sz w:val="24"/>
        </w:rPr>
        <w:t>6:00</w:t>
      </w:r>
      <w:r>
        <w:rPr>
          <w:i/>
          <w:color w:val="231F20"/>
          <w:spacing w:val="26"/>
          <w:sz w:val="24"/>
        </w:rPr>
        <w:t>  </w:t>
      </w:r>
      <w:r>
        <w:rPr>
          <w:i/>
          <w:color w:val="231F20"/>
          <w:sz w:val="24"/>
        </w:rPr>
        <w:t>p.m.</w:t>
      </w:r>
      <w:r>
        <w:rPr>
          <w:i/>
          <w:color w:val="231F20"/>
          <w:spacing w:val="28"/>
          <w:sz w:val="24"/>
        </w:rPr>
        <w:t>  </w:t>
      </w:r>
      <w:r>
        <w:rPr>
          <w:i/>
          <w:color w:val="231F20"/>
          <w:sz w:val="24"/>
        </w:rPr>
        <w:t>Sunday</w:t>
      </w:r>
      <w:r>
        <w:rPr>
          <w:i/>
          <w:color w:val="231F20"/>
          <w:spacing w:val="27"/>
          <w:sz w:val="24"/>
        </w:rPr>
        <w:t>  </w:t>
      </w:r>
      <w:r>
        <w:rPr>
          <w:i/>
          <w:color w:val="231F20"/>
          <w:sz w:val="24"/>
        </w:rPr>
        <w:t>that</w:t>
      </w:r>
      <w:r>
        <w:rPr>
          <w:i/>
          <w:color w:val="231F20"/>
          <w:spacing w:val="28"/>
          <w:sz w:val="24"/>
        </w:rPr>
        <w:t>  </w:t>
      </w:r>
      <w:r>
        <w:rPr>
          <w:i/>
          <w:color w:val="231F20"/>
          <w:spacing w:val="-5"/>
          <w:sz w:val="24"/>
        </w:rPr>
        <w:t>the</w:t>
      </w:r>
    </w:p>
    <w:p>
      <w:pPr>
        <w:spacing w:after="0"/>
        <w:jc w:val="left"/>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40" w:firstLine="0"/>
        <w:jc w:val="both"/>
        <w:rPr>
          <w:i/>
          <w:sz w:val="24"/>
        </w:rPr>
      </w:pPr>
      <w:r>
        <w:rPr>
          <w:i/>
          <w:color w:val="231F20"/>
          <w:sz w:val="24"/>
        </w:rPr>
        <w:t>municipality’s police officers have called for a</w:t>
      </w:r>
      <w:r>
        <w:rPr>
          <w:i/>
          <w:color w:val="231F20"/>
          <w:sz w:val="24"/>
        </w:rPr>
        <w:t> wildcat strike to show their disapproval</w:t>
      </w:r>
      <w:r>
        <w:rPr>
          <w:i/>
          <w:color w:val="231F20"/>
          <w:sz w:val="24"/>
        </w:rPr>
        <w:t> of</w:t>
      </w:r>
      <w:r>
        <w:rPr>
          <w:i/>
          <w:color w:val="231F20"/>
          <w:sz w:val="24"/>
        </w:rPr>
        <w:t> the board’s latest salary offer made during </w:t>
      </w:r>
      <w:r>
        <w:rPr>
          <w:i/>
          <w:color w:val="231F20"/>
          <w:sz w:val="24"/>
        </w:rPr>
        <w:t>a particularly heated collective bargaining session. The strike is planned for Monday </w:t>
      </w:r>
      <w:r>
        <w:rPr>
          <w:i/>
          <w:color w:val="231F20"/>
          <w:spacing w:val="-2"/>
          <w:sz w:val="24"/>
        </w:rPr>
        <w:t>morning.</w:t>
      </w:r>
    </w:p>
    <w:p>
      <w:pPr>
        <w:pStyle w:val="BodyText"/>
        <w:rPr>
          <w:i/>
        </w:rPr>
      </w:pPr>
    </w:p>
    <w:p>
      <w:pPr>
        <w:spacing w:before="0"/>
        <w:ind w:left="475" w:right="39" w:firstLine="0"/>
        <w:jc w:val="both"/>
        <w:rPr>
          <w:i/>
          <w:sz w:val="24"/>
        </w:rPr>
      </w:pPr>
      <w:r>
        <w:rPr>
          <w:i/>
          <w:color w:val="231F20"/>
          <w:sz w:val="24"/>
        </w:rPr>
        <w:t>The board’s policy for notice of emergency</w:t>
      </w:r>
      <w:r>
        <w:rPr>
          <w:i/>
          <w:color w:val="231F20"/>
          <w:sz w:val="24"/>
        </w:rPr>
        <w:t> meetings</w:t>
      </w:r>
      <w:r>
        <w:rPr>
          <w:i/>
          <w:color w:val="231F20"/>
          <w:spacing w:val="-3"/>
          <w:sz w:val="24"/>
        </w:rPr>
        <w:t> </w:t>
      </w:r>
      <w:r>
        <w:rPr>
          <w:i/>
          <w:color w:val="231F20"/>
          <w:sz w:val="24"/>
        </w:rPr>
        <w:t>requires</w:t>
      </w:r>
      <w:r>
        <w:rPr>
          <w:i/>
          <w:color w:val="231F20"/>
          <w:spacing w:val="-3"/>
          <w:sz w:val="24"/>
        </w:rPr>
        <w:t> </w:t>
      </w:r>
      <w:r>
        <w:rPr>
          <w:i/>
          <w:color w:val="231F20"/>
          <w:sz w:val="24"/>
        </w:rPr>
        <w:t>the</w:t>
      </w:r>
      <w:r>
        <w:rPr>
          <w:i/>
          <w:color w:val="231F20"/>
          <w:spacing w:val="-2"/>
          <w:sz w:val="24"/>
        </w:rPr>
        <w:t> </w:t>
      </w:r>
      <w:r>
        <w:rPr>
          <w:i/>
          <w:color w:val="231F20"/>
          <w:sz w:val="24"/>
        </w:rPr>
        <w:t>board</w:t>
      </w:r>
      <w:r>
        <w:rPr>
          <w:i/>
          <w:color w:val="231F20"/>
          <w:spacing w:val="-3"/>
          <w:sz w:val="24"/>
        </w:rPr>
        <w:t> </w:t>
      </w:r>
      <w:r>
        <w:rPr>
          <w:i/>
          <w:color w:val="231F20"/>
          <w:sz w:val="24"/>
        </w:rPr>
        <w:t>president</w:t>
      </w:r>
      <w:r>
        <w:rPr>
          <w:i/>
          <w:color w:val="231F20"/>
          <w:spacing w:val="-3"/>
          <w:sz w:val="24"/>
        </w:rPr>
        <w:t> </w:t>
      </w:r>
      <w:r>
        <w:rPr>
          <w:i/>
          <w:color w:val="231F20"/>
          <w:sz w:val="24"/>
        </w:rPr>
        <w:t>to</w:t>
      </w:r>
      <w:r>
        <w:rPr>
          <w:i/>
          <w:color w:val="231F20"/>
          <w:spacing w:val="-3"/>
          <w:sz w:val="24"/>
        </w:rPr>
        <w:t> </w:t>
      </w:r>
      <w:r>
        <w:rPr>
          <w:i/>
          <w:color w:val="231F20"/>
          <w:sz w:val="24"/>
        </w:rPr>
        <w:t>give</w:t>
      </w:r>
      <w:r>
        <w:rPr>
          <w:i/>
          <w:color w:val="231F20"/>
          <w:spacing w:val="-3"/>
          <w:sz w:val="24"/>
        </w:rPr>
        <w:t> </w:t>
      </w:r>
      <w:r>
        <w:rPr>
          <w:i/>
          <w:color w:val="231F20"/>
          <w:sz w:val="24"/>
        </w:rPr>
        <w:t>24 hours notice by local radio announcement. </w:t>
      </w:r>
      <w:r>
        <w:rPr>
          <w:i/>
          <w:color w:val="231F20"/>
          <w:sz w:val="24"/>
        </w:rPr>
        <w:t>The board member who received the information calls the board president who gives two hours notice by radio of an emergency closed meeting to discuss collective bargaining strategy and possible legal actions against the police</w:t>
      </w:r>
      <w:r>
        <w:rPr>
          <w:i/>
          <w:color w:val="231F20"/>
          <w:spacing w:val="80"/>
          <w:sz w:val="24"/>
        </w:rPr>
        <w:t> </w:t>
      </w:r>
      <w:r>
        <w:rPr>
          <w:i/>
          <w:color w:val="231F20"/>
          <w:spacing w:val="-2"/>
          <w:sz w:val="24"/>
        </w:rPr>
        <w:t>officers.</w:t>
      </w:r>
    </w:p>
    <w:p>
      <w:pPr>
        <w:pStyle w:val="BodyText"/>
        <w:rPr>
          <w:i/>
        </w:rPr>
      </w:pPr>
    </w:p>
    <w:p>
      <w:pPr>
        <w:spacing w:before="0"/>
        <w:ind w:left="475" w:right="38" w:firstLine="0"/>
        <w:jc w:val="both"/>
        <w:rPr>
          <w:i/>
          <w:sz w:val="24"/>
        </w:rPr>
      </w:pPr>
      <w:r>
        <w:rPr>
          <w:i/>
          <w:color w:val="231F20"/>
          <w:sz w:val="24"/>
        </w:rPr>
        <w:t>Due to the board’s interest in planning for such</w:t>
      </w:r>
      <w:r>
        <w:rPr>
          <w:i/>
          <w:color w:val="231F20"/>
          <w:sz w:val="24"/>
        </w:rPr>
        <w:t> a strike with its attorney, preserving the peace, and protecting the municipality’s residents from an immediate threat to their security and safety, the two-hour notice is “appropriate</w:t>
      </w:r>
      <w:r>
        <w:rPr>
          <w:i/>
          <w:color w:val="231F20"/>
          <w:sz w:val="24"/>
        </w:rPr>
        <w:t> under the </w:t>
      </w:r>
      <w:r>
        <w:rPr>
          <w:i/>
          <w:color w:val="231F20"/>
          <w:spacing w:val="-2"/>
          <w:sz w:val="24"/>
        </w:rPr>
        <w:t>circumstances.”</w:t>
      </w:r>
    </w:p>
    <w:p>
      <w:pPr>
        <w:pStyle w:val="BodyText"/>
        <w:rPr>
          <w:i/>
        </w:rPr>
      </w:pPr>
    </w:p>
    <w:p>
      <w:pPr>
        <w:pStyle w:val="BodyText"/>
        <w:ind w:left="475"/>
      </w:pPr>
      <w:bookmarkStart w:name="Commentary" w:id="196"/>
      <w:bookmarkEnd w:id="196"/>
      <w:r>
        <w:rPr/>
      </w:r>
      <w:r>
        <w:rPr>
          <w:color w:val="231F20"/>
          <w:spacing w:val="-2"/>
          <w:u w:val="single" w:color="231F20"/>
        </w:rPr>
        <w:t>Commentary</w:t>
      </w:r>
    </w:p>
    <w:p>
      <w:pPr>
        <w:pStyle w:val="BodyText"/>
      </w:pPr>
    </w:p>
    <w:p>
      <w:pPr>
        <w:pStyle w:val="BodyText"/>
        <w:ind w:left="475" w:right="38"/>
        <w:jc w:val="both"/>
      </w:pPr>
      <w:r>
        <w:rPr>
          <w:color w:val="231F20"/>
        </w:rPr>
        <w:t>Although not addressed by the Act, one issue that sometimes comes up is whether it is proper for a public body to permit persons other than</w:t>
      </w:r>
      <w:r>
        <w:rPr>
          <w:color w:val="231F20"/>
          <w:spacing w:val="80"/>
        </w:rPr>
        <w:t> </w:t>
      </w:r>
      <w:r>
        <w:rPr>
          <w:color w:val="231F20"/>
        </w:rPr>
        <w:t>its members to be present during a closed meeting. There is no single answer to this question,</w:t>
      </w:r>
      <w:r>
        <w:rPr>
          <w:color w:val="231F20"/>
          <w:spacing w:val="40"/>
        </w:rPr>
        <w:t> </w:t>
      </w:r>
      <w:r>
        <w:rPr>
          <w:color w:val="231F20"/>
        </w:rPr>
        <w:t>although</w:t>
      </w:r>
      <w:r>
        <w:rPr>
          <w:color w:val="231F20"/>
          <w:spacing w:val="40"/>
        </w:rPr>
        <w:t> </w:t>
      </w:r>
      <w:r>
        <w:rPr>
          <w:color w:val="231F20"/>
        </w:rPr>
        <w:t>generally</w:t>
      </w:r>
      <w:r>
        <w:rPr>
          <w:color w:val="231F20"/>
          <w:spacing w:val="40"/>
        </w:rPr>
        <w:t> </w:t>
      </w:r>
      <w:r>
        <w:rPr>
          <w:color w:val="231F20"/>
        </w:rPr>
        <w:t>a</w:t>
      </w:r>
      <w:r>
        <w:rPr>
          <w:color w:val="231F20"/>
          <w:spacing w:val="40"/>
        </w:rPr>
        <w:t> </w:t>
      </w:r>
      <w:r>
        <w:rPr>
          <w:color w:val="231F20"/>
        </w:rPr>
        <w:t>public</w:t>
      </w:r>
      <w:r>
        <w:rPr>
          <w:color w:val="231F20"/>
          <w:spacing w:val="40"/>
        </w:rPr>
        <w:t> </w:t>
      </w:r>
      <w:r>
        <w:rPr>
          <w:color w:val="231F20"/>
        </w:rPr>
        <w:t>body may include anyone it wants in its executive session. In certain circumstances, however, considerations</w:t>
      </w:r>
      <w:r>
        <w:rPr>
          <w:color w:val="231F20"/>
          <w:spacing w:val="-2"/>
        </w:rPr>
        <w:t> </w:t>
      </w:r>
      <w:r>
        <w:rPr>
          <w:color w:val="231F20"/>
        </w:rPr>
        <w:t>aside</w:t>
      </w:r>
      <w:r>
        <w:rPr>
          <w:color w:val="231F20"/>
          <w:spacing w:val="-1"/>
        </w:rPr>
        <w:t> </w:t>
      </w:r>
      <w:r>
        <w:rPr>
          <w:color w:val="231F20"/>
        </w:rPr>
        <w:t>from</w:t>
      </w:r>
      <w:r>
        <w:rPr>
          <w:color w:val="231F20"/>
          <w:spacing w:val="-2"/>
        </w:rPr>
        <w:t> </w:t>
      </w:r>
      <w:r>
        <w:rPr>
          <w:color w:val="231F20"/>
        </w:rPr>
        <w:t>the</w:t>
      </w:r>
      <w:r>
        <w:rPr>
          <w:color w:val="231F20"/>
          <w:spacing w:val="-3"/>
        </w:rPr>
        <w:t> </w:t>
      </w:r>
      <w:r>
        <w:rPr>
          <w:color w:val="231F20"/>
        </w:rPr>
        <w:t>Act</w:t>
      </w:r>
      <w:r>
        <w:rPr>
          <w:color w:val="231F20"/>
          <w:spacing w:val="-2"/>
        </w:rPr>
        <w:t> </w:t>
      </w:r>
      <w:r>
        <w:rPr>
          <w:color w:val="231F20"/>
        </w:rPr>
        <w:t>may</w:t>
      </w:r>
      <w:r>
        <w:rPr>
          <w:color w:val="231F20"/>
          <w:spacing w:val="-4"/>
        </w:rPr>
        <w:t> </w:t>
      </w:r>
      <w:r>
        <w:rPr>
          <w:color w:val="231F20"/>
        </w:rPr>
        <w:t>affect</w:t>
      </w:r>
      <w:r>
        <w:rPr>
          <w:color w:val="231F20"/>
          <w:spacing w:val="-2"/>
        </w:rPr>
        <w:t> </w:t>
      </w:r>
      <w:r>
        <w:rPr>
          <w:color w:val="231F20"/>
        </w:rPr>
        <w:t>the permissibility of allowing non-members to be present. For example, when a public body holds a closed session pursuant to Section 10-15- 1(H)(3)</w:t>
      </w:r>
      <w:r>
        <w:rPr>
          <w:color w:val="231F20"/>
        </w:rPr>
        <w:t> of</w:t>
      </w:r>
      <w:r>
        <w:rPr>
          <w:color w:val="231F20"/>
        </w:rPr>
        <w:t> the</w:t>
      </w:r>
      <w:r>
        <w:rPr>
          <w:color w:val="231F20"/>
        </w:rPr>
        <w:t> Act to deliberate after an administrative</w:t>
      </w:r>
      <w:r>
        <w:rPr>
          <w:color w:val="231F20"/>
        </w:rPr>
        <w:t> adjudicatory</w:t>
      </w:r>
      <w:r>
        <w:rPr>
          <w:color w:val="231F20"/>
        </w:rPr>
        <w:t> proceeding,</w:t>
      </w:r>
      <w:r>
        <w:rPr>
          <w:color w:val="231F20"/>
        </w:rPr>
        <w:t> it probably should exclude other persons (except, perhaps, its attorney) from the closed session. Otherwise, it may give at least the appearance that the public body is improperly and unfairly receiving additional information about the</w:t>
      </w:r>
      <w:r>
        <w:rPr>
          <w:color w:val="231F20"/>
          <w:spacing w:val="40"/>
        </w:rPr>
        <w:t> </w:t>
      </w:r>
      <w:r>
        <w:rPr>
          <w:color w:val="231F20"/>
        </w:rPr>
        <w:t>matter before it without the participation of one or more of the parties to the proceeding.</w:t>
      </w:r>
    </w:p>
    <w:p>
      <w:pPr>
        <w:pStyle w:val="BodyText"/>
        <w:spacing w:before="10"/>
        <w:rPr>
          <w:sz w:val="23"/>
        </w:rPr>
      </w:pPr>
    </w:p>
    <w:p>
      <w:pPr>
        <w:pStyle w:val="BodyText"/>
        <w:ind w:left="475"/>
      </w:pPr>
      <w:r>
        <w:rPr>
          <w:color w:val="231F20"/>
        </w:rPr>
        <w:t>A</w:t>
      </w:r>
      <w:r>
        <w:rPr>
          <w:color w:val="231F20"/>
          <w:spacing w:val="28"/>
        </w:rPr>
        <w:t> </w:t>
      </w:r>
      <w:r>
        <w:rPr>
          <w:color w:val="231F20"/>
        </w:rPr>
        <w:t>public</w:t>
      </w:r>
      <w:r>
        <w:rPr>
          <w:color w:val="231F20"/>
          <w:spacing w:val="29"/>
        </w:rPr>
        <w:t> </w:t>
      </w:r>
      <w:r>
        <w:rPr>
          <w:color w:val="231F20"/>
        </w:rPr>
        <w:t>body</w:t>
      </w:r>
      <w:r>
        <w:rPr>
          <w:color w:val="231F20"/>
          <w:spacing w:val="23"/>
        </w:rPr>
        <w:t> </w:t>
      </w:r>
      <w:r>
        <w:rPr>
          <w:color w:val="231F20"/>
        </w:rPr>
        <w:t>also</w:t>
      </w:r>
      <w:r>
        <w:rPr>
          <w:color w:val="231F20"/>
          <w:spacing w:val="29"/>
        </w:rPr>
        <w:t> </w:t>
      </w:r>
      <w:r>
        <w:rPr>
          <w:color w:val="231F20"/>
        </w:rPr>
        <w:t>should</w:t>
      </w:r>
      <w:r>
        <w:rPr>
          <w:color w:val="231F20"/>
          <w:spacing w:val="30"/>
        </w:rPr>
        <w:t> </w:t>
      </w:r>
      <w:r>
        <w:rPr>
          <w:color w:val="231F20"/>
        </w:rPr>
        <w:t>use</w:t>
      </w:r>
      <w:r>
        <w:rPr>
          <w:color w:val="231F20"/>
          <w:spacing w:val="29"/>
        </w:rPr>
        <w:t> </w:t>
      </w:r>
      <w:r>
        <w:rPr>
          <w:color w:val="231F20"/>
        </w:rPr>
        <w:t>caution</w:t>
      </w:r>
      <w:r>
        <w:rPr>
          <w:color w:val="231F20"/>
          <w:spacing w:val="29"/>
        </w:rPr>
        <w:t> </w:t>
      </w:r>
      <w:r>
        <w:rPr>
          <w:color w:val="231F20"/>
        </w:rPr>
        <w:t>when</w:t>
      </w:r>
      <w:r>
        <w:rPr>
          <w:color w:val="231F20"/>
          <w:spacing w:val="30"/>
        </w:rPr>
        <w:t> </w:t>
      </w:r>
      <w:r>
        <w:rPr>
          <w:color w:val="231F20"/>
          <w:spacing w:val="-5"/>
        </w:rPr>
        <w:t>it</w:t>
      </w:r>
    </w:p>
    <w:p>
      <w:pPr>
        <w:pStyle w:val="BodyText"/>
        <w:spacing w:before="90"/>
        <w:ind w:left="475" w:right="598"/>
        <w:jc w:val="both"/>
      </w:pPr>
      <w:r>
        <w:rPr/>
        <w:br w:type="column"/>
      </w:r>
      <w:r>
        <w:rPr>
          <w:color w:val="231F20"/>
        </w:rPr>
        <w:t>permits persons other than the body’s members and its attorney to attend a meeting that is</w:t>
      </w:r>
      <w:r>
        <w:rPr>
          <w:color w:val="231F20"/>
          <w:spacing w:val="40"/>
        </w:rPr>
        <w:t> </w:t>
      </w:r>
      <w:r>
        <w:rPr>
          <w:color w:val="231F20"/>
        </w:rPr>
        <w:t>closed under the litigation exception in Section 10-15-1(H)(7)</w:t>
      </w:r>
      <w:r>
        <w:rPr>
          <w:color w:val="231F20"/>
        </w:rPr>
        <w:t> of</w:t>
      </w:r>
      <w:r>
        <w:rPr>
          <w:color w:val="231F20"/>
        </w:rPr>
        <w:t> the</w:t>
      </w:r>
      <w:r>
        <w:rPr>
          <w:color w:val="231F20"/>
        </w:rPr>
        <w:t> Act. That exception expressly applies to meetings “subject to the attorney-client privilege,” so the public body should consult with its attorney to ensure</w:t>
      </w:r>
      <w:r>
        <w:rPr>
          <w:color w:val="231F20"/>
        </w:rPr>
        <w:t> that</w:t>
      </w:r>
      <w:r>
        <w:rPr>
          <w:color w:val="231F20"/>
          <w:spacing w:val="40"/>
        </w:rPr>
        <w:t> </w:t>
      </w:r>
      <w:r>
        <w:rPr>
          <w:color w:val="231F20"/>
        </w:rPr>
        <w:t>the presence of other persons during the closed session will not affect the privilege and, in turn, make the use of the litigation exception </w:t>
      </w:r>
      <w:r>
        <w:rPr>
          <w:color w:val="231F20"/>
          <w:spacing w:val="-2"/>
        </w:rPr>
        <w:t>improper.</w:t>
      </w:r>
    </w:p>
    <w:p>
      <w:pPr>
        <w:pStyle w:val="BodyText"/>
      </w:pPr>
    </w:p>
    <w:p>
      <w:pPr>
        <w:spacing w:before="0"/>
        <w:ind w:left="475" w:right="0" w:firstLine="0"/>
        <w:jc w:val="both"/>
        <w:rPr>
          <w:i/>
          <w:sz w:val="24"/>
        </w:rPr>
      </w:pPr>
      <w:bookmarkStart w:name="Example 72:" w:id="197"/>
      <w:bookmarkEnd w:id="19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72:</w:t>
      </w:r>
    </w:p>
    <w:p>
      <w:pPr>
        <w:pStyle w:val="BodyText"/>
        <w:rPr>
          <w:i/>
        </w:rPr>
      </w:pPr>
    </w:p>
    <w:p>
      <w:pPr>
        <w:spacing w:before="0"/>
        <w:ind w:left="475" w:right="597" w:firstLine="0"/>
        <w:jc w:val="both"/>
        <w:rPr>
          <w:i/>
          <w:sz w:val="24"/>
        </w:rPr>
      </w:pPr>
      <w:r>
        <w:rPr>
          <w:i/>
          <w:color w:val="231F20"/>
          <w:sz w:val="24"/>
        </w:rPr>
        <w:t>At a teacher disciplinary hearing held by a</w:t>
      </w:r>
      <w:r>
        <w:rPr>
          <w:i/>
          <w:color w:val="231F20"/>
          <w:sz w:val="24"/>
        </w:rPr>
        <w:t> school board, the superintendent testifies concerning the events resulting in </w:t>
      </w:r>
      <w:r>
        <w:rPr>
          <w:i/>
          <w:color w:val="231F20"/>
          <w:sz w:val="24"/>
        </w:rPr>
        <w:t>the proceeding.</w:t>
      </w:r>
      <w:r>
        <w:rPr>
          <w:i/>
          <w:color w:val="231F20"/>
          <w:spacing w:val="-7"/>
          <w:sz w:val="24"/>
        </w:rPr>
        <w:t> </w:t>
      </w:r>
      <w:r>
        <w:rPr>
          <w:i/>
          <w:color w:val="231F20"/>
          <w:sz w:val="24"/>
        </w:rPr>
        <w:t>Although</w:t>
      </w:r>
      <w:r>
        <w:rPr>
          <w:i/>
          <w:color w:val="231F20"/>
          <w:spacing w:val="-7"/>
          <w:sz w:val="24"/>
        </w:rPr>
        <w:t> </w:t>
      </w:r>
      <w:r>
        <w:rPr>
          <w:i/>
          <w:color w:val="231F20"/>
          <w:sz w:val="24"/>
        </w:rPr>
        <w:t>the</w:t>
      </w:r>
      <w:r>
        <w:rPr>
          <w:i/>
          <w:color w:val="231F20"/>
          <w:spacing w:val="-8"/>
          <w:sz w:val="24"/>
        </w:rPr>
        <w:t> </w:t>
      </w:r>
      <w:r>
        <w:rPr>
          <w:i/>
          <w:color w:val="231F20"/>
          <w:sz w:val="24"/>
        </w:rPr>
        <w:t>superintendent</w:t>
      </w:r>
      <w:r>
        <w:rPr>
          <w:i/>
          <w:color w:val="231F20"/>
          <w:spacing w:val="-7"/>
          <w:sz w:val="24"/>
        </w:rPr>
        <w:t> </w:t>
      </w:r>
      <w:r>
        <w:rPr>
          <w:i/>
          <w:color w:val="231F20"/>
          <w:sz w:val="24"/>
        </w:rPr>
        <w:t>usually serves as recording secretary for the board, she may not be present during the board’s deliberations after the hearing. Because the board may not hear additional evidence after</w:t>
      </w:r>
      <w:r>
        <w:rPr>
          <w:i/>
          <w:color w:val="231F20"/>
          <w:spacing w:val="40"/>
          <w:sz w:val="24"/>
        </w:rPr>
        <w:t> </w:t>
      </w:r>
      <w:r>
        <w:rPr>
          <w:i/>
          <w:color w:val="231F20"/>
          <w:sz w:val="24"/>
        </w:rPr>
        <w:t>the close of the hearing, the presence of the superintendent, a witness in the hearing, during the closed session could be viewed as an unfair influence</w:t>
      </w:r>
      <w:r>
        <w:rPr>
          <w:i/>
          <w:color w:val="231F20"/>
          <w:spacing w:val="-7"/>
          <w:sz w:val="24"/>
        </w:rPr>
        <w:t> </w:t>
      </w:r>
      <w:r>
        <w:rPr>
          <w:i/>
          <w:color w:val="231F20"/>
          <w:sz w:val="24"/>
        </w:rPr>
        <w:t>on</w:t>
      </w:r>
      <w:r>
        <w:rPr>
          <w:i/>
          <w:color w:val="231F20"/>
          <w:spacing w:val="-6"/>
          <w:sz w:val="24"/>
        </w:rPr>
        <w:t> </w:t>
      </w:r>
      <w:r>
        <w:rPr>
          <w:i/>
          <w:color w:val="231F20"/>
          <w:sz w:val="24"/>
        </w:rPr>
        <w:t>the</w:t>
      </w:r>
      <w:r>
        <w:rPr>
          <w:i/>
          <w:color w:val="231F20"/>
          <w:spacing w:val="-7"/>
          <w:sz w:val="24"/>
        </w:rPr>
        <w:t> </w:t>
      </w:r>
      <w:r>
        <w:rPr>
          <w:i/>
          <w:color w:val="231F20"/>
          <w:sz w:val="24"/>
        </w:rPr>
        <w:t>board’s</w:t>
      </w:r>
      <w:r>
        <w:rPr>
          <w:i/>
          <w:color w:val="231F20"/>
          <w:spacing w:val="-4"/>
          <w:sz w:val="24"/>
        </w:rPr>
        <w:t> </w:t>
      </w:r>
      <w:r>
        <w:rPr>
          <w:i/>
          <w:color w:val="231F20"/>
          <w:sz w:val="24"/>
        </w:rPr>
        <w:t>discussion</w:t>
      </w:r>
      <w:r>
        <w:rPr>
          <w:i/>
          <w:color w:val="231F20"/>
          <w:spacing w:val="-6"/>
          <w:sz w:val="24"/>
        </w:rPr>
        <w:t> </w:t>
      </w:r>
      <w:r>
        <w:rPr>
          <w:i/>
          <w:color w:val="231F20"/>
          <w:sz w:val="24"/>
        </w:rPr>
        <w:t>and</w:t>
      </w:r>
      <w:r>
        <w:rPr>
          <w:i/>
          <w:color w:val="231F20"/>
          <w:spacing w:val="-6"/>
          <w:sz w:val="24"/>
        </w:rPr>
        <w:t> </w:t>
      </w:r>
      <w:r>
        <w:rPr>
          <w:i/>
          <w:color w:val="231F20"/>
          <w:sz w:val="24"/>
        </w:rPr>
        <w:t>decision concerning the teacher.</w:t>
      </w:r>
    </w:p>
    <w:p>
      <w:pPr>
        <w:pStyle w:val="BodyText"/>
        <w:rPr>
          <w:i/>
        </w:rPr>
      </w:pPr>
    </w:p>
    <w:p>
      <w:pPr>
        <w:spacing w:before="0"/>
        <w:ind w:left="475" w:right="0" w:firstLine="0"/>
        <w:jc w:val="both"/>
        <w:rPr>
          <w:i/>
          <w:sz w:val="24"/>
        </w:rPr>
      </w:pPr>
      <w:bookmarkStart w:name="Example 73:" w:id="198"/>
      <w:bookmarkEnd w:id="19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73:</w:t>
      </w:r>
    </w:p>
    <w:p>
      <w:pPr>
        <w:pStyle w:val="BodyText"/>
        <w:rPr>
          <w:i/>
        </w:rPr>
      </w:pPr>
    </w:p>
    <w:p>
      <w:pPr>
        <w:spacing w:line="240" w:lineRule="auto" w:before="0"/>
        <w:ind w:left="475" w:right="599" w:firstLine="0"/>
        <w:jc w:val="both"/>
        <w:rPr>
          <w:i/>
          <w:sz w:val="24"/>
        </w:rPr>
      </w:pPr>
      <w:r>
        <w:rPr>
          <w:i/>
          <w:color w:val="231F20"/>
          <w:sz w:val="24"/>
        </w:rPr>
        <w:t>During its regular meeting, a county</w:t>
      </w:r>
      <w:r>
        <w:rPr>
          <w:i/>
          <w:color w:val="231F20"/>
          <w:spacing w:val="40"/>
          <w:sz w:val="24"/>
        </w:rPr>
        <w:t> </w:t>
      </w:r>
      <w:r>
        <w:rPr>
          <w:i/>
          <w:color w:val="231F20"/>
          <w:sz w:val="24"/>
        </w:rPr>
        <w:t>commission goes into executive session to discuss the purchase of land. It permits</w:t>
      </w:r>
      <w:r>
        <w:rPr>
          <w:i/>
          <w:color w:val="231F20"/>
          <w:spacing w:val="40"/>
          <w:sz w:val="24"/>
        </w:rPr>
        <w:t> </w:t>
      </w:r>
      <w:r>
        <w:rPr>
          <w:i/>
          <w:color w:val="231F20"/>
          <w:sz w:val="24"/>
        </w:rPr>
        <w:t>members of the public attending the meeting to remain during the closed session except </w:t>
      </w:r>
      <w:r>
        <w:rPr>
          <w:i/>
          <w:color w:val="231F20"/>
          <w:sz w:val="24"/>
        </w:rPr>
        <w:t>those people the commission knows are vehemently opposed to the purchase. This is not proper since the commission is using the executive session to unreasonably exclude only certain members of the public from what would otherwise be a public meeting.</w:t>
      </w:r>
    </w:p>
    <w:p>
      <w:pPr>
        <w:pStyle w:val="BodyText"/>
        <w:spacing w:before="9"/>
        <w:rPr>
          <w:i/>
          <w:sz w:val="23"/>
        </w:rPr>
      </w:pPr>
    </w:p>
    <w:p>
      <w:pPr>
        <w:spacing w:before="1"/>
        <w:ind w:left="475" w:right="0" w:firstLine="0"/>
        <w:jc w:val="both"/>
        <w:rPr>
          <w:i/>
          <w:sz w:val="24"/>
        </w:rPr>
      </w:pPr>
      <w:bookmarkStart w:name="Example 74:" w:id="199"/>
      <w:bookmarkEnd w:id="199"/>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74:</w:t>
      </w:r>
    </w:p>
    <w:p>
      <w:pPr>
        <w:pStyle w:val="BodyText"/>
        <w:spacing w:before="11"/>
        <w:rPr>
          <w:i/>
          <w:sz w:val="23"/>
        </w:rPr>
      </w:pPr>
    </w:p>
    <w:p>
      <w:pPr>
        <w:spacing w:before="0"/>
        <w:ind w:left="475" w:right="599" w:firstLine="0"/>
        <w:jc w:val="both"/>
        <w:rPr>
          <w:i/>
          <w:sz w:val="24"/>
        </w:rPr>
      </w:pPr>
      <w:r>
        <w:rPr>
          <w:i/>
          <w:color w:val="231F20"/>
          <w:sz w:val="24"/>
        </w:rPr>
        <w:t>A state board holds a closed meeting to discuss</w:t>
      </w:r>
      <w:r>
        <w:rPr>
          <w:i/>
          <w:color w:val="231F20"/>
          <w:sz w:val="24"/>
        </w:rPr>
        <w:t> competitive sealed proposals it has received in response</w:t>
      </w:r>
      <w:r>
        <w:rPr>
          <w:i/>
          <w:color w:val="231F20"/>
          <w:sz w:val="24"/>
        </w:rPr>
        <w:t> to</w:t>
      </w:r>
      <w:r>
        <w:rPr>
          <w:i/>
          <w:color w:val="231F20"/>
          <w:sz w:val="24"/>
        </w:rPr>
        <w:t> a</w:t>
      </w:r>
      <w:r>
        <w:rPr>
          <w:i/>
          <w:color w:val="231F20"/>
          <w:sz w:val="24"/>
        </w:rPr>
        <w:t> request for proposals made according to the Procurement Code. During its closed</w:t>
      </w:r>
      <w:r>
        <w:rPr>
          <w:i/>
          <w:color w:val="231F20"/>
          <w:spacing w:val="47"/>
          <w:sz w:val="24"/>
        </w:rPr>
        <w:t> </w:t>
      </w:r>
      <w:r>
        <w:rPr>
          <w:i/>
          <w:color w:val="231F20"/>
          <w:sz w:val="24"/>
        </w:rPr>
        <w:t>discussion,</w:t>
      </w:r>
      <w:r>
        <w:rPr>
          <w:i/>
          <w:color w:val="231F20"/>
          <w:spacing w:val="47"/>
          <w:sz w:val="24"/>
        </w:rPr>
        <w:t> </w:t>
      </w:r>
      <w:r>
        <w:rPr>
          <w:i/>
          <w:color w:val="231F20"/>
          <w:sz w:val="24"/>
        </w:rPr>
        <w:t>the</w:t>
      </w:r>
      <w:r>
        <w:rPr>
          <w:i/>
          <w:color w:val="231F20"/>
          <w:spacing w:val="46"/>
          <w:sz w:val="24"/>
        </w:rPr>
        <w:t> </w:t>
      </w:r>
      <w:r>
        <w:rPr>
          <w:i/>
          <w:color w:val="231F20"/>
          <w:sz w:val="24"/>
        </w:rPr>
        <w:t>board</w:t>
      </w:r>
      <w:r>
        <w:rPr>
          <w:i/>
          <w:color w:val="231F20"/>
          <w:spacing w:val="47"/>
          <w:sz w:val="24"/>
        </w:rPr>
        <w:t> </w:t>
      </w:r>
      <w:r>
        <w:rPr>
          <w:i/>
          <w:color w:val="231F20"/>
          <w:sz w:val="24"/>
        </w:rPr>
        <w:t>may</w:t>
      </w:r>
      <w:r>
        <w:rPr>
          <w:i/>
          <w:color w:val="231F20"/>
          <w:spacing w:val="47"/>
          <w:sz w:val="24"/>
        </w:rPr>
        <w:t> </w:t>
      </w:r>
      <w:r>
        <w:rPr>
          <w:i/>
          <w:color w:val="231F20"/>
          <w:sz w:val="24"/>
        </w:rPr>
        <w:t>permit</w:t>
      </w:r>
      <w:r>
        <w:rPr>
          <w:i/>
          <w:color w:val="231F20"/>
          <w:spacing w:val="47"/>
          <w:sz w:val="24"/>
        </w:rPr>
        <w:t> </w:t>
      </w:r>
      <w:r>
        <w:rPr>
          <w:i/>
          <w:color w:val="231F20"/>
          <w:spacing w:val="-4"/>
          <w:sz w:val="24"/>
        </w:rPr>
        <w:t>each</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spacing w:before="8"/>
        <w:rPr>
          <w:i/>
          <w:sz w:val="15"/>
        </w:rPr>
      </w:pPr>
    </w:p>
    <w:p>
      <w:pPr>
        <w:spacing w:after="0"/>
        <w:rPr>
          <w:sz w:val="15"/>
        </w:rPr>
        <w:sectPr>
          <w:pgSz w:w="12240" w:h="15840"/>
          <w:pgMar w:header="660" w:footer="484" w:top="960" w:bottom="900" w:left="360" w:right="240"/>
        </w:sectPr>
      </w:pPr>
    </w:p>
    <w:p>
      <w:pPr>
        <w:spacing w:before="90"/>
        <w:ind w:left="475" w:right="38" w:firstLine="0"/>
        <w:jc w:val="both"/>
        <w:rPr>
          <w:i/>
          <w:sz w:val="24"/>
        </w:rPr>
      </w:pPr>
      <w:r>
        <w:rPr>
          <w:i/>
          <w:color w:val="231F20"/>
          <w:sz w:val="24"/>
        </w:rPr>
        <w:t>proposer to come</w:t>
      </w:r>
      <w:r>
        <w:rPr>
          <w:i/>
          <w:color w:val="231F20"/>
          <w:spacing w:val="-1"/>
          <w:sz w:val="24"/>
        </w:rPr>
        <w:t> </w:t>
      </w:r>
      <w:r>
        <w:rPr>
          <w:i/>
          <w:color w:val="231F20"/>
          <w:sz w:val="24"/>
        </w:rPr>
        <w:t>before</w:t>
      </w:r>
      <w:r>
        <w:rPr>
          <w:i/>
          <w:color w:val="231F20"/>
          <w:spacing w:val="-1"/>
          <w:sz w:val="24"/>
        </w:rPr>
        <w:t> </w:t>
      </w:r>
      <w:r>
        <w:rPr>
          <w:i/>
          <w:color w:val="231F20"/>
          <w:sz w:val="24"/>
        </w:rPr>
        <w:t>the</w:t>
      </w:r>
      <w:r>
        <w:rPr>
          <w:i/>
          <w:color w:val="231F20"/>
          <w:spacing w:val="-1"/>
          <w:sz w:val="24"/>
        </w:rPr>
        <w:t> </w:t>
      </w:r>
      <w:r>
        <w:rPr>
          <w:i/>
          <w:color w:val="231F20"/>
          <w:sz w:val="24"/>
        </w:rPr>
        <w:t>board one</w:t>
      </w:r>
      <w:r>
        <w:rPr>
          <w:i/>
          <w:color w:val="231F20"/>
          <w:spacing w:val="-1"/>
          <w:sz w:val="24"/>
        </w:rPr>
        <w:t> </w:t>
      </w:r>
      <w:r>
        <w:rPr>
          <w:i/>
          <w:color w:val="231F20"/>
          <w:sz w:val="24"/>
        </w:rPr>
        <w:t>at a</w:t>
      </w:r>
      <w:r>
        <w:rPr>
          <w:i/>
          <w:color w:val="231F20"/>
          <w:spacing w:val="-2"/>
          <w:sz w:val="24"/>
        </w:rPr>
        <w:t> </w:t>
      </w:r>
      <w:r>
        <w:rPr>
          <w:i/>
          <w:color w:val="231F20"/>
          <w:sz w:val="24"/>
        </w:rPr>
        <w:t>time</w:t>
      </w:r>
      <w:r>
        <w:rPr>
          <w:i/>
          <w:color w:val="231F20"/>
          <w:sz w:val="24"/>
        </w:rPr>
        <w:t> and answer questions concerning its proposal.</w:t>
      </w:r>
    </w:p>
    <w:p>
      <w:pPr>
        <w:pStyle w:val="BodyText"/>
        <w:spacing w:before="5"/>
        <w:rPr>
          <w:i/>
        </w:rPr>
      </w:pPr>
    </w:p>
    <w:p>
      <w:pPr>
        <w:pStyle w:val="Heading2"/>
        <w:ind w:left="835" w:hanging="360"/>
      </w:pPr>
      <w:bookmarkStart w:name="_TOC_250010" w:id="200"/>
      <w:bookmarkStart w:name="J. Statement Regarding Closed  Discussio" w:id="201"/>
      <w:r>
        <w:rPr>
          <w:b w:val="0"/>
        </w:rPr>
      </w:r>
      <w:r>
        <w:rPr>
          <w:color w:val="231F20"/>
        </w:rPr>
        <w:t>J.</w:t>
      </w:r>
      <w:r>
        <w:rPr>
          <w:color w:val="231F20"/>
          <w:spacing w:val="40"/>
        </w:rPr>
        <w:t> </w:t>
      </w:r>
      <w:r>
        <w:rPr>
          <w:color w:val="231F20"/>
        </w:rPr>
        <w:t>Statement</w:t>
      </w:r>
      <w:r>
        <w:rPr>
          <w:color w:val="231F20"/>
          <w:spacing w:val="-9"/>
        </w:rPr>
        <w:t> </w:t>
      </w:r>
      <w:r>
        <w:rPr>
          <w:color w:val="231F20"/>
        </w:rPr>
        <w:t>Regarding</w:t>
      </w:r>
      <w:r>
        <w:rPr>
          <w:color w:val="231F20"/>
          <w:spacing w:val="-8"/>
        </w:rPr>
        <w:t> </w:t>
      </w:r>
      <w:r>
        <w:rPr>
          <w:color w:val="231F20"/>
        </w:rPr>
        <w:t>Closed </w:t>
      </w:r>
      <w:bookmarkEnd w:id="200"/>
      <w:r>
        <w:rPr>
          <w:color w:val="231F20"/>
          <w:spacing w:val="-2"/>
        </w:rPr>
        <w:t>Discussions</w:t>
      </w:r>
    </w:p>
    <w:p>
      <w:pPr>
        <w:pStyle w:val="BodyText"/>
        <w:spacing w:before="10"/>
        <w:rPr>
          <w:b/>
          <w:sz w:val="23"/>
        </w:rPr>
      </w:pPr>
    </w:p>
    <w:p>
      <w:pPr>
        <w:spacing w:before="0"/>
        <w:ind w:left="475" w:right="0" w:firstLine="0"/>
        <w:jc w:val="both"/>
        <w:rPr>
          <w:b/>
          <w:sz w:val="24"/>
        </w:rPr>
      </w:pPr>
      <w:bookmarkStart w:name="The Law" w:id="202"/>
      <w:bookmarkEnd w:id="202"/>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rPr>
      </w:pPr>
    </w:p>
    <w:p>
      <w:pPr>
        <w:spacing w:before="0"/>
        <w:ind w:left="475" w:right="38" w:firstLine="0"/>
        <w:jc w:val="both"/>
        <w:rPr>
          <w:b/>
          <w:sz w:val="24"/>
        </w:rPr>
      </w:pPr>
      <w:r>
        <w:rPr>
          <w:b/>
          <w:color w:val="231F20"/>
          <w:sz w:val="24"/>
        </w:rPr>
        <w:t>Following completion of any closed meeting, the minutes of the open meeting that</w:t>
      </w:r>
      <w:r>
        <w:rPr>
          <w:b/>
          <w:color w:val="231F20"/>
          <w:sz w:val="24"/>
        </w:rPr>
        <w:t> was closed, or the minutes of the next open meeting if the closed meeting was separately scheduled, shall state</w:t>
      </w:r>
      <w:r>
        <w:rPr>
          <w:b/>
          <w:color w:val="231F20"/>
          <w:sz w:val="24"/>
        </w:rPr>
        <w:t> that the matters discussed in the closed meeting were limited only to those specified in the motion for closure or in the notice of the separate closed meeting. This statement shall be approved by the public body under Subsection G of this section as part of the minutes.</w:t>
      </w:r>
    </w:p>
    <w:p>
      <w:pPr>
        <w:pStyle w:val="BodyText"/>
        <w:spacing w:before="7"/>
        <w:rPr>
          <w:b/>
          <w:sz w:val="23"/>
        </w:rPr>
      </w:pPr>
    </w:p>
    <w:p>
      <w:pPr>
        <w:pStyle w:val="BodyText"/>
        <w:ind w:left="475"/>
      </w:pPr>
      <w:bookmarkStart w:name="Commentary" w:id="203"/>
      <w:bookmarkEnd w:id="203"/>
      <w:r>
        <w:rPr/>
      </w:r>
      <w:r>
        <w:rPr>
          <w:color w:val="231F20"/>
          <w:spacing w:val="-2"/>
          <w:u w:val="single" w:color="231F20"/>
        </w:rPr>
        <w:t>Commentary</w:t>
      </w:r>
    </w:p>
    <w:p>
      <w:pPr>
        <w:pStyle w:val="BodyText"/>
      </w:pPr>
    </w:p>
    <w:p>
      <w:pPr>
        <w:pStyle w:val="BodyText"/>
        <w:ind w:left="475" w:right="39"/>
        <w:jc w:val="both"/>
      </w:pPr>
      <w:r>
        <w:rPr>
          <w:color w:val="231F20"/>
        </w:rPr>
        <w:t>Section 10-15-1(J)</w:t>
      </w:r>
      <w:r>
        <w:rPr>
          <w:color w:val="231F20"/>
        </w:rPr>
        <w:t> is intended to reinforce the requirement that discussions during closed sessions be limited to topics that are expressly excepted from the open meeting requirements. Because</w:t>
      </w:r>
      <w:r>
        <w:rPr>
          <w:color w:val="231F20"/>
          <w:spacing w:val="37"/>
        </w:rPr>
        <w:t> </w:t>
      </w:r>
      <w:r>
        <w:rPr>
          <w:color w:val="231F20"/>
        </w:rPr>
        <w:t>closed</w:t>
      </w:r>
      <w:r>
        <w:rPr>
          <w:color w:val="231F20"/>
          <w:spacing w:val="36"/>
        </w:rPr>
        <w:t> </w:t>
      </w:r>
      <w:r>
        <w:rPr>
          <w:color w:val="231F20"/>
        </w:rPr>
        <w:t>meetings</w:t>
      </w:r>
      <w:r>
        <w:rPr>
          <w:color w:val="231F20"/>
          <w:spacing w:val="36"/>
        </w:rPr>
        <w:t> </w:t>
      </w:r>
      <w:r>
        <w:rPr>
          <w:color w:val="231F20"/>
        </w:rPr>
        <w:t>or</w:t>
      </w:r>
      <w:r>
        <w:rPr>
          <w:color w:val="231F20"/>
          <w:spacing w:val="35"/>
        </w:rPr>
        <w:t> </w:t>
      </w:r>
      <w:r>
        <w:rPr>
          <w:color w:val="231F20"/>
        </w:rPr>
        <w:t>executive</w:t>
      </w:r>
      <w:r>
        <w:rPr>
          <w:color w:val="231F20"/>
          <w:spacing w:val="35"/>
        </w:rPr>
        <w:t> </w:t>
      </w:r>
      <w:r>
        <w:rPr>
          <w:color w:val="231F20"/>
          <w:spacing w:val="-2"/>
        </w:rPr>
        <w:t>sessions</w:t>
      </w:r>
    </w:p>
    <w:p>
      <w:pPr>
        <w:pStyle w:val="BodyText"/>
        <w:spacing w:before="90"/>
        <w:ind w:left="475" w:right="599"/>
        <w:jc w:val="both"/>
      </w:pPr>
      <w:r>
        <w:rPr/>
        <w:br w:type="column"/>
      </w:r>
      <w:r>
        <w:rPr>
          <w:color w:val="231F20"/>
        </w:rPr>
        <w:t>are</w:t>
      </w:r>
      <w:r>
        <w:rPr>
          <w:color w:val="231F20"/>
        </w:rPr>
        <w:t> not</w:t>
      </w:r>
      <w:r>
        <w:rPr>
          <w:color w:val="231F20"/>
        </w:rPr>
        <w:t> open,</w:t>
      </w:r>
      <w:r>
        <w:rPr>
          <w:color w:val="231F20"/>
        </w:rPr>
        <w:t> members of the public are naturally curious about their content and suspicious about any perceived misuse of the exceptions allowing closure.</w:t>
      </w:r>
      <w:r>
        <w:rPr>
          <w:color w:val="231F20"/>
        </w:rPr>
        <w:t> Including</w:t>
      </w:r>
      <w:r>
        <w:rPr>
          <w:color w:val="231F20"/>
        </w:rPr>
        <w:t> the required statement in their minutes, will remind public bodies that there are only a few proper justifications for closure</w:t>
      </w:r>
      <w:r>
        <w:rPr>
          <w:color w:val="231F20"/>
        </w:rPr>
        <w:t> and</w:t>
      </w:r>
      <w:r>
        <w:rPr>
          <w:color w:val="231F20"/>
        </w:rPr>
        <w:t> make</w:t>
      </w:r>
      <w:r>
        <w:rPr>
          <w:color w:val="231F20"/>
        </w:rPr>
        <w:t> them</w:t>
      </w:r>
      <w:r>
        <w:rPr>
          <w:color w:val="231F20"/>
        </w:rPr>
        <w:t> less likely to succumb to any temptation to expand closed discussions beyond the topic announced in the motion for or notice of closure.</w:t>
      </w:r>
    </w:p>
    <w:p>
      <w:pPr>
        <w:pStyle w:val="BodyText"/>
      </w:pPr>
    </w:p>
    <w:p>
      <w:pPr>
        <w:spacing w:before="0"/>
        <w:ind w:left="475" w:right="0" w:firstLine="0"/>
        <w:jc w:val="both"/>
        <w:rPr>
          <w:i/>
          <w:sz w:val="24"/>
        </w:rPr>
      </w:pPr>
      <w:bookmarkStart w:name="Example 75:" w:id="204"/>
      <w:bookmarkEnd w:id="204"/>
      <w:r>
        <w:rPr/>
      </w:r>
      <w:r>
        <w:rPr>
          <w:i/>
          <w:color w:val="231F20"/>
          <w:sz w:val="24"/>
          <w:u w:val="single" w:color="231F20"/>
        </w:rPr>
        <w:t>Example</w:t>
      </w:r>
      <w:r>
        <w:rPr>
          <w:i/>
          <w:color w:val="231F20"/>
          <w:spacing w:val="-6"/>
          <w:sz w:val="24"/>
          <w:u w:val="single" w:color="231F20"/>
        </w:rPr>
        <w:t> </w:t>
      </w:r>
      <w:r>
        <w:rPr>
          <w:i/>
          <w:color w:val="231F20"/>
          <w:spacing w:val="-5"/>
          <w:sz w:val="24"/>
          <w:u w:val="single" w:color="231F20"/>
        </w:rPr>
        <w:t>75:</w:t>
      </w:r>
    </w:p>
    <w:p>
      <w:pPr>
        <w:pStyle w:val="BodyText"/>
        <w:rPr>
          <w:i/>
        </w:rPr>
      </w:pPr>
    </w:p>
    <w:p>
      <w:pPr>
        <w:spacing w:before="0"/>
        <w:ind w:left="475" w:right="599" w:firstLine="0"/>
        <w:jc w:val="both"/>
        <w:rPr>
          <w:i/>
          <w:sz w:val="24"/>
        </w:rPr>
      </w:pPr>
      <w:r>
        <w:rPr>
          <w:i/>
          <w:color w:val="231F20"/>
          <w:sz w:val="24"/>
        </w:rPr>
        <w:t>During its regular monthly meeting, a city</w:t>
      </w:r>
      <w:r>
        <w:rPr>
          <w:i/>
          <w:color w:val="231F20"/>
          <w:sz w:val="24"/>
        </w:rPr>
        <w:t> council closes its meeting to discuss hiring a</w:t>
      </w:r>
      <w:r>
        <w:rPr>
          <w:i/>
          <w:color w:val="231F20"/>
          <w:spacing w:val="40"/>
          <w:sz w:val="24"/>
        </w:rPr>
        <w:t> </w:t>
      </w:r>
      <w:r>
        <w:rPr>
          <w:i/>
          <w:color w:val="231F20"/>
          <w:sz w:val="24"/>
        </w:rPr>
        <w:t>city manager. The minutes for the meeting show that a motion was made to go into executive session to discuss hiring a city manager as authorized by the limited personnel matters exception to the Act. The minutes also record</w:t>
      </w:r>
      <w:r>
        <w:rPr>
          <w:i/>
          <w:color w:val="231F20"/>
          <w:spacing w:val="40"/>
          <w:sz w:val="24"/>
        </w:rPr>
        <w:t> </w:t>
      </w:r>
      <w:r>
        <w:rPr>
          <w:i/>
          <w:color w:val="231F20"/>
          <w:sz w:val="24"/>
        </w:rPr>
        <w:t>the vote of each councilor on the motion to go into executive session. Finally, the minutes</w:t>
      </w:r>
      <w:r>
        <w:rPr>
          <w:i/>
          <w:color w:val="231F20"/>
          <w:spacing w:val="40"/>
          <w:sz w:val="24"/>
        </w:rPr>
        <w:t> </w:t>
      </w:r>
      <w:r>
        <w:rPr>
          <w:i/>
          <w:color w:val="231F20"/>
          <w:sz w:val="24"/>
        </w:rPr>
        <w:t>state, as required by Section 10-15-1(J) of the Act: “The only matter discussed during the closed session was the hiring of a city</w:t>
      </w:r>
      <w:r>
        <w:rPr>
          <w:i/>
          <w:color w:val="231F20"/>
          <w:spacing w:val="40"/>
          <w:sz w:val="24"/>
        </w:rPr>
        <w:t> </w:t>
      </w:r>
      <w:r>
        <w:rPr>
          <w:i/>
          <w:color w:val="231F20"/>
          <w:spacing w:val="-2"/>
          <w:sz w:val="24"/>
        </w:rPr>
        <w:t>manager.”</w:t>
      </w:r>
    </w:p>
    <w:p>
      <w:pPr>
        <w:spacing w:after="0"/>
        <w:jc w:val="both"/>
        <w:rPr>
          <w:sz w:val="24"/>
        </w:rPr>
        <w:sectPr>
          <w:type w:val="continuous"/>
          <w:pgSz w:w="12240" w:h="15840"/>
          <w:pgMar w:header="660" w:footer="484" w:top="480" w:bottom="280" w:left="360" w:right="240"/>
          <w:cols w:num="2" w:equalWidth="0">
            <w:col w:w="5199" w:space="684"/>
            <w:col w:w="5757"/>
          </w:cols>
        </w:sectPr>
      </w:pPr>
    </w:p>
    <w:p>
      <w:pPr>
        <w:pStyle w:val="BodyText"/>
        <w:rPr>
          <w:i/>
          <w:sz w:val="20"/>
        </w:rPr>
      </w:pPr>
    </w:p>
    <w:p>
      <w:pPr>
        <w:pStyle w:val="BodyText"/>
        <w:rPr>
          <w:i/>
          <w:sz w:val="20"/>
        </w:rPr>
      </w:pPr>
    </w:p>
    <w:p>
      <w:pPr>
        <w:pStyle w:val="BodyText"/>
        <w:rPr>
          <w:i/>
          <w:sz w:val="20"/>
        </w:rPr>
      </w:pPr>
    </w:p>
    <w:p>
      <w:pPr>
        <w:pStyle w:val="BodyText"/>
        <w:spacing w:before="1"/>
        <w:rPr>
          <w:i/>
          <w:sz w:val="17"/>
        </w:rPr>
      </w:pPr>
    </w:p>
    <w:p>
      <w:pPr>
        <w:pStyle w:val="Heading1"/>
        <w:numPr>
          <w:ilvl w:val="0"/>
          <w:numId w:val="2"/>
        </w:numPr>
        <w:tabs>
          <w:tab w:pos="2045" w:val="left" w:leader="none"/>
        </w:tabs>
        <w:spacing w:line="240" w:lineRule="auto" w:before="75" w:after="0"/>
        <w:ind w:left="4639" w:right="1233" w:hanging="3531"/>
        <w:jc w:val="left"/>
        <w:rPr>
          <w:color w:val="231F20"/>
        </w:rPr>
      </w:pPr>
      <w:bookmarkStart w:name="_TOC_250009" w:id="205"/>
      <w:bookmarkStart w:name="IV. Section 10-15-2. State Legislature; " w:id="206"/>
      <w:r>
        <w:rPr>
          <w:color w:val="231F20"/>
        </w:rPr>
        <w:t>Sec</w:t>
      </w:r>
      <w:r>
        <w:rPr>
          <w:color w:val="231F20"/>
        </w:rPr>
        <w:t>tion</w:t>
      </w:r>
      <w:r>
        <w:rPr>
          <w:color w:val="231F20"/>
          <w:spacing w:val="-15"/>
        </w:rPr>
        <w:t> </w:t>
      </w:r>
      <w:r>
        <w:rPr>
          <w:color w:val="231F20"/>
        </w:rPr>
        <w:t>10-15-2.</w:t>
      </w:r>
      <w:r>
        <w:rPr>
          <w:color w:val="231F20"/>
          <w:spacing w:val="-14"/>
        </w:rPr>
        <w:t> </w:t>
      </w:r>
      <w:r>
        <w:rPr>
          <w:color w:val="231F20"/>
        </w:rPr>
        <w:t>State</w:t>
      </w:r>
      <w:r>
        <w:rPr>
          <w:color w:val="231F20"/>
          <w:spacing w:val="-15"/>
        </w:rPr>
        <w:t> </w:t>
      </w:r>
      <w:r>
        <w:rPr>
          <w:color w:val="231F20"/>
        </w:rPr>
        <w:t>Legislature; </w:t>
      </w:r>
      <w:bookmarkEnd w:id="205"/>
      <w:r>
        <w:rPr>
          <w:color w:val="231F20"/>
          <w:spacing w:val="-2"/>
        </w:rPr>
        <w:t>Meetings</w:t>
      </w:r>
    </w:p>
    <w:p>
      <w:pPr>
        <w:pStyle w:val="BodyText"/>
        <w:rPr>
          <w:sz w:val="16"/>
        </w:rPr>
      </w:pPr>
    </w:p>
    <w:p>
      <w:pPr>
        <w:spacing w:after="0"/>
        <w:rPr>
          <w:sz w:val="16"/>
        </w:rPr>
        <w:sectPr>
          <w:pgSz w:w="12240" w:h="15840"/>
          <w:pgMar w:header="660" w:footer="484" w:top="960" w:bottom="860" w:left="360" w:right="240"/>
        </w:sectPr>
      </w:pPr>
    </w:p>
    <w:p>
      <w:pPr>
        <w:pStyle w:val="Heading2"/>
        <w:numPr>
          <w:ilvl w:val="0"/>
          <w:numId w:val="14"/>
        </w:numPr>
        <w:tabs>
          <w:tab w:pos="836" w:val="left" w:leader="none"/>
        </w:tabs>
        <w:spacing w:line="240" w:lineRule="auto" w:before="141" w:after="0"/>
        <w:ind w:left="835" w:right="286" w:hanging="360"/>
        <w:jc w:val="both"/>
      </w:pPr>
      <w:bookmarkStart w:name="_TOC_250008" w:id="207"/>
      <w:r>
        <w:rPr>
          <w:color w:val="231F20"/>
        </w:rPr>
        <w:t>Meetings of Committees and Policymaking Bodies of the </w:t>
      </w:r>
      <w:bookmarkEnd w:id="207"/>
      <w:r>
        <w:rPr>
          <w:color w:val="231F20"/>
          <w:spacing w:val="-2"/>
        </w:rPr>
        <w:t>Legislature</w:t>
      </w:r>
    </w:p>
    <w:p>
      <w:pPr>
        <w:pStyle w:val="BodyText"/>
        <w:rPr>
          <w:b/>
          <w:sz w:val="28"/>
        </w:rPr>
      </w:pPr>
    </w:p>
    <w:p>
      <w:pPr>
        <w:spacing w:before="0"/>
        <w:ind w:left="465" w:right="0" w:firstLine="0"/>
        <w:jc w:val="both"/>
        <w:rPr>
          <w:b/>
          <w:sz w:val="24"/>
        </w:rPr>
      </w:pPr>
      <w:bookmarkStart w:name="The Law" w:id="208"/>
      <w:bookmarkEnd w:id="20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7"/>
        </w:rPr>
      </w:pPr>
    </w:p>
    <w:p>
      <w:pPr>
        <w:spacing w:before="0"/>
        <w:ind w:left="475" w:right="38" w:hanging="10"/>
        <w:jc w:val="both"/>
        <w:rPr>
          <w:b/>
          <w:sz w:val="24"/>
        </w:rPr>
      </w:pPr>
      <w:r>
        <w:rPr>
          <w:b/>
          <w:color w:val="231F20"/>
          <w:sz w:val="24"/>
        </w:rPr>
        <w:t>Unless otherwise provided by Joint House and Senate</w:t>
      </w:r>
      <w:r>
        <w:rPr>
          <w:b/>
          <w:color w:val="231F20"/>
          <w:sz w:val="24"/>
        </w:rPr>
        <w:t> Rule, all meetings of any committee or policymaking body of the legislature held for</w:t>
      </w:r>
      <w:r>
        <w:rPr>
          <w:b/>
          <w:color w:val="231F20"/>
          <w:spacing w:val="40"/>
          <w:sz w:val="24"/>
        </w:rPr>
        <w:t> </w:t>
      </w:r>
      <w:r>
        <w:rPr>
          <w:b/>
          <w:color w:val="231F20"/>
          <w:sz w:val="24"/>
        </w:rPr>
        <w:t>the purpose of discussing public business or for the purpose of taking any action within the authority of or the delegated authority of the committee or body are declared to be public meetings open to the public at all times. Reasonable notice of meetings shall be given to the public by publication or by the presiding officer of each house prior to the time the meeting is scheduled.</w:t>
      </w:r>
    </w:p>
    <w:p>
      <w:pPr>
        <w:pStyle w:val="BodyText"/>
        <w:spacing w:before="6"/>
        <w:rPr>
          <w:b/>
          <w:sz w:val="27"/>
        </w:rPr>
      </w:pPr>
    </w:p>
    <w:p>
      <w:pPr>
        <w:pStyle w:val="BodyText"/>
        <w:spacing w:before="1"/>
        <w:ind w:left="465"/>
      </w:pPr>
      <w:bookmarkStart w:name="Commentary" w:id="209"/>
      <w:bookmarkEnd w:id="209"/>
      <w:r>
        <w:rPr/>
      </w:r>
      <w:r>
        <w:rPr>
          <w:color w:val="231F20"/>
          <w:spacing w:val="-2"/>
          <w:u w:val="single" w:color="231F20"/>
        </w:rPr>
        <w:t>Commentary</w:t>
      </w:r>
    </w:p>
    <w:p>
      <w:pPr>
        <w:pStyle w:val="BodyText"/>
        <w:spacing w:before="11"/>
        <w:rPr>
          <w:sz w:val="27"/>
        </w:rPr>
      </w:pPr>
    </w:p>
    <w:p>
      <w:pPr>
        <w:pStyle w:val="BodyText"/>
        <w:ind w:left="475" w:right="38" w:hanging="10"/>
        <w:jc w:val="both"/>
      </w:pPr>
      <w:r>
        <w:rPr>
          <w:color w:val="231F20"/>
        </w:rPr>
        <w:t>Article</w:t>
      </w:r>
      <w:r>
        <w:rPr>
          <w:color w:val="231F20"/>
        </w:rPr>
        <w:t> IV, Section 12 of the New Mexico Constitution requires that all sessions of each</w:t>
      </w:r>
      <w:r>
        <w:rPr>
          <w:color w:val="231F20"/>
          <w:spacing w:val="40"/>
        </w:rPr>
        <w:t> </w:t>
      </w:r>
      <w:r>
        <w:rPr>
          <w:color w:val="231F20"/>
        </w:rPr>
        <w:t>house of the legislature be open to the public. Section 10-15-2(A)</w:t>
      </w:r>
      <w:r>
        <w:rPr>
          <w:color w:val="231F20"/>
        </w:rPr>
        <w:t> provides that all meetings of any committee or policymaking body of the state legislature held for the purpose of: (a) discussing public business, or (b) taking any</w:t>
      </w:r>
      <w:r>
        <w:rPr>
          <w:color w:val="231F20"/>
          <w:spacing w:val="-1"/>
        </w:rPr>
        <w:t> </w:t>
      </w:r>
      <w:r>
        <w:rPr>
          <w:color w:val="231F20"/>
        </w:rPr>
        <w:t>action within the authority of the committee or policymaking body, shall be open to the public as well. However, Subsection A must be read in conjunction with Subsection C of this section which provides that: “For the purposes of this section, ‘meeting’ means a gathering of a quorum of the members of a standing committee or conference committee held for the purpose of taking any action within the authority of the committee or body.”</w:t>
      </w:r>
    </w:p>
    <w:p>
      <w:pPr>
        <w:pStyle w:val="BodyText"/>
      </w:pPr>
    </w:p>
    <w:p>
      <w:pPr>
        <w:pStyle w:val="BodyText"/>
        <w:ind w:left="465"/>
      </w:pPr>
      <w:r>
        <w:rPr>
          <w:color w:val="231F20"/>
        </w:rPr>
        <w:t>Thus,</w:t>
      </w:r>
      <w:r>
        <w:rPr>
          <w:color w:val="231F20"/>
          <w:spacing w:val="-2"/>
        </w:rPr>
        <w:t> </w:t>
      </w:r>
      <w:r>
        <w:rPr>
          <w:color w:val="231F20"/>
        </w:rPr>
        <w:t>the</w:t>
      </w:r>
      <w:r>
        <w:rPr>
          <w:color w:val="231F20"/>
          <w:spacing w:val="-2"/>
        </w:rPr>
        <w:t> </w:t>
      </w:r>
      <w:r>
        <w:rPr>
          <w:color w:val="231F20"/>
        </w:rPr>
        <w:t>open</w:t>
      </w:r>
      <w:r>
        <w:rPr>
          <w:color w:val="231F20"/>
          <w:spacing w:val="-2"/>
        </w:rPr>
        <w:t> </w:t>
      </w:r>
      <w:r>
        <w:rPr>
          <w:color w:val="231F20"/>
        </w:rPr>
        <w:t>meeting</w:t>
      </w:r>
      <w:r>
        <w:rPr>
          <w:color w:val="231F20"/>
          <w:spacing w:val="-4"/>
        </w:rPr>
        <w:t> </w:t>
      </w:r>
      <w:r>
        <w:rPr>
          <w:color w:val="231F20"/>
        </w:rPr>
        <w:t>requirement</w:t>
      </w:r>
      <w:r>
        <w:rPr>
          <w:color w:val="231F20"/>
          <w:spacing w:val="-1"/>
        </w:rPr>
        <w:t> </w:t>
      </w:r>
      <w:r>
        <w:rPr>
          <w:color w:val="231F20"/>
        </w:rPr>
        <w:t>of</w:t>
      </w:r>
      <w:r>
        <w:rPr>
          <w:color w:val="231F20"/>
          <w:spacing w:val="-3"/>
        </w:rPr>
        <w:t> </w:t>
      </w:r>
      <w:r>
        <w:rPr>
          <w:color w:val="231F20"/>
          <w:spacing w:val="-2"/>
        </w:rPr>
        <w:t>Subsection</w:t>
      </w:r>
    </w:p>
    <w:p>
      <w:pPr>
        <w:pStyle w:val="BodyText"/>
        <w:spacing w:before="90"/>
        <w:ind w:left="475" w:right="350" w:hanging="10"/>
        <w:jc w:val="both"/>
      </w:pPr>
      <w:r>
        <w:rPr/>
        <w:br w:type="column"/>
      </w:r>
      <w:r>
        <w:rPr>
          <w:color w:val="231F20"/>
        </w:rPr>
        <w:t>A really only applies to meetings of a standing or conference committee of the legislature.</w:t>
      </w:r>
    </w:p>
    <w:p>
      <w:pPr>
        <w:pStyle w:val="BodyText"/>
        <w:rPr>
          <w:sz w:val="26"/>
        </w:rPr>
      </w:pPr>
    </w:p>
    <w:p>
      <w:pPr>
        <w:pStyle w:val="BodyText"/>
        <w:spacing w:before="11"/>
        <w:rPr>
          <w:sz w:val="21"/>
        </w:rPr>
      </w:pPr>
    </w:p>
    <w:p>
      <w:pPr>
        <w:pStyle w:val="BodyText"/>
        <w:ind w:left="475" w:right="350"/>
        <w:jc w:val="both"/>
      </w:pPr>
      <w:r>
        <w:rPr>
          <w:color w:val="231F20"/>
        </w:rPr>
        <w:t>Standing committees are formed by the senate or house, or by</w:t>
      </w:r>
      <w:r>
        <w:rPr>
          <w:color w:val="231F20"/>
          <w:spacing w:val="-6"/>
        </w:rPr>
        <w:t> </w:t>
      </w:r>
      <w:r>
        <w:rPr>
          <w:color w:val="231F20"/>
        </w:rPr>
        <w:t>statute, to assist the senate or house</w:t>
      </w:r>
      <w:r>
        <w:rPr>
          <w:color w:val="231F20"/>
          <w:spacing w:val="-2"/>
        </w:rPr>
        <w:t> </w:t>
      </w:r>
      <w:r>
        <w:rPr>
          <w:color w:val="231F20"/>
        </w:rPr>
        <w:t>in accomplishing their duties. Standing committees convene during the legislative session and interim committees include those that meet on a regular basis between legislative sessions. Conference committees are called upon during a legislative session to resolve disagreements on a particular </w:t>
      </w:r>
      <w:r>
        <w:rPr>
          <w:color w:val="231F20"/>
          <w:spacing w:val="-2"/>
        </w:rPr>
        <w:t>bill.</w:t>
      </w:r>
    </w:p>
    <w:p>
      <w:pPr>
        <w:pStyle w:val="BodyText"/>
      </w:pPr>
    </w:p>
    <w:p>
      <w:pPr>
        <w:pStyle w:val="BodyText"/>
        <w:ind w:left="475" w:right="352" w:hanging="10"/>
        <w:jc w:val="both"/>
      </w:pPr>
      <w:r>
        <w:rPr>
          <w:color w:val="231F20"/>
        </w:rPr>
        <w:t>Notice of a legislative committee meeting must be provided to the public before the meeting is held.</w:t>
      </w:r>
    </w:p>
    <w:p>
      <w:pPr>
        <w:pStyle w:val="BodyText"/>
      </w:pPr>
    </w:p>
    <w:p>
      <w:pPr>
        <w:spacing w:before="0"/>
        <w:ind w:left="465" w:right="0" w:firstLine="0"/>
        <w:jc w:val="both"/>
        <w:rPr>
          <w:i/>
          <w:sz w:val="24"/>
        </w:rPr>
      </w:pPr>
      <w:bookmarkStart w:name="Example 76:" w:id="210"/>
      <w:bookmarkEnd w:id="21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76:</w:t>
      </w:r>
    </w:p>
    <w:p>
      <w:pPr>
        <w:pStyle w:val="BodyText"/>
        <w:rPr>
          <w:i/>
        </w:rPr>
      </w:pPr>
    </w:p>
    <w:p>
      <w:pPr>
        <w:spacing w:before="0"/>
        <w:ind w:left="475" w:right="351" w:hanging="10"/>
        <w:jc w:val="both"/>
        <w:rPr>
          <w:i/>
          <w:sz w:val="24"/>
        </w:rPr>
      </w:pPr>
      <w:r>
        <w:rPr>
          <w:i/>
          <w:color w:val="231F20"/>
          <w:sz w:val="24"/>
        </w:rPr>
        <w:t>A meeting of the party leadership of either party of</w:t>
      </w:r>
      <w:r>
        <w:rPr>
          <w:i/>
          <w:color w:val="231F20"/>
          <w:sz w:val="24"/>
        </w:rPr>
        <w:t> the state legislature is not subject to this provision as those legislators do not constitute a standing committee of the state legislature.</w:t>
      </w:r>
    </w:p>
    <w:p>
      <w:pPr>
        <w:pStyle w:val="BodyText"/>
        <w:rPr>
          <w:i/>
        </w:rPr>
      </w:pPr>
    </w:p>
    <w:p>
      <w:pPr>
        <w:spacing w:before="1"/>
        <w:ind w:left="465" w:right="0" w:firstLine="0"/>
        <w:jc w:val="both"/>
        <w:rPr>
          <w:i/>
          <w:sz w:val="24"/>
        </w:rPr>
      </w:pPr>
      <w:bookmarkStart w:name="Example 77:" w:id="211"/>
      <w:bookmarkEnd w:id="21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77:</w:t>
      </w:r>
    </w:p>
    <w:p>
      <w:pPr>
        <w:pStyle w:val="BodyText"/>
        <w:spacing w:before="11"/>
        <w:rPr>
          <w:i/>
          <w:sz w:val="23"/>
        </w:rPr>
      </w:pPr>
    </w:p>
    <w:p>
      <w:pPr>
        <w:spacing w:before="0"/>
        <w:ind w:left="475" w:right="350" w:hanging="10"/>
        <w:jc w:val="both"/>
        <w:rPr>
          <w:i/>
          <w:sz w:val="24"/>
        </w:rPr>
      </w:pPr>
      <w:r>
        <w:rPr>
          <w:i/>
          <w:color w:val="231F20"/>
          <w:sz w:val="24"/>
        </w:rPr>
        <w:t>A meeting of the staff for the Senate Finance</w:t>
      </w:r>
      <w:r>
        <w:rPr>
          <w:i/>
          <w:color w:val="231F20"/>
          <w:sz w:val="24"/>
        </w:rPr>
        <w:t> Committee is not subject to this provision as the staff analysts are not legislators and therefore do not constitute a standing or conference committee of the state legislature.</w:t>
      </w:r>
    </w:p>
    <w:p>
      <w:pPr>
        <w:pStyle w:val="BodyText"/>
        <w:rPr>
          <w:i/>
        </w:rPr>
      </w:pPr>
    </w:p>
    <w:p>
      <w:pPr>
        <w:spacing w:before="0"/>
        <w:ind w:left="465" w:right="0" w:firstLine="0"/>
        <w:jc w:val="both"/>
        <w:rPr>
          <w:i/>
          <w:sz w:val="24"/>
        </w:rPr>
      </w:pPr>
      <w:bookmarkStart w:name="Example 78:" w:id="212"/>
      <w:bookmarkEnd w:id="21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78:</w:t>
      </w:r>
    </w:p>
    <w:p>
      <w:pPr>
        <w:pStyle w:val="BodyText"/>
        <w:rPr>
          <w:i/>
        </w:rPr>
      </w:pPr>
    </w:p>
    <w:p>
      <w:pPr>
        <w:spacing w:before="0"/>
        <w:ind w:left="475" w:right="349" w:hanging="10"/>
        <w:jc w:val="both"/>
        <w:rPr>
          <w:i/>
          <w:sz w:val="24"/>
        </w:rPr>
      </w:pPr>
      <w:r>
        <w:rPr>
          <w:i/>
          <w:color w:val="231F20"/>
          <w:sz w:val="24"/>
        </w:rPr>
        <w:t>A reception at which a quorum of the members of</w:t>
      </w:r>
      <w:r>
        <w:rPr>
          <w:i/>
          <w:color w:val="231F20"/>
          <w:sz w:val="24"/>
        </w:rPr>
        <w:t> the House Judiciary Committee is present is not subject to this provision because this is not a gathering called by the presiding officer of the committee and the members have not met for the purpose of discussing public business or taking official action.</w:t>
      </w:r>
    </w:p>
    <w:p>
      <w:pPr>
        <w:spacing w:after="0"/>
        <w:jc w:val="both"/>
        <w:rPr>
          <w:sz w:val="24"/>
        </w:rPr>
        <w:sectPr>
          <w:type w:val="continuous"/>
          <w:pgSz w:w="12240" w:h="15840"/>
          <w:pgMar w:header="660" w:footer="484" w:top="480" w:bottom="280" w:left="360" w:right="240"/>
          <w:cols w:num="2" w:equalWidth="0">
            <w:col w:w="5446" w:space="436"/>
            <w:col w:w="5758"/>
          </w:cols>
        </w:sectPr>
      </w:pPr>
    </w:p>
    <w:p>
      <w:pPr>
        <w:pStyle w:val="BodyText"/>
        <w:spacing w:before="8"/>
        <w:rPr>
          <w:i/>
          <w:sz w:val="15"/>
        </w:rPr>
      </w:pPr>
    </w:p>
    <w:p>
      <w:pPr>
        <w:spacing w:after="0"/>
        <w:rPr>
          <w:sz w:val="15"/>
        </w:rPr>
        <w:sectPr>
          <w:pgSz w:w="12240" w:h="15840"/>
          <w:pgMar w:header="660" w:footer="484" w:top="960" w:bottom="900" w:left="360" w:right="240"/>
        </w:sectPr>
      </w:pPr>
    </w:p>
    <w:p>
      <w:pPr>
        <w:pStyle w:val="BodyText"/>
        <w:spacing w:before="9"/>
        <w:rPr>
          <w:i/>
          <w:sz w:val="31"/>
        </w:rPr>
      </w:pPr>
    </w:p>
    <w:p>
      <w:pPr>
        <w:spacing w:before="0"/>
        <w:ind w:left="465" w:right="0" w:firstLine="0"/>
        <w:jc w:val="both"/>
        <w:rPr>
          <w:i/>
          <w:sz w:val="24"/>
        </w:rPr>
      </w:pPr>
      <w:bookmarkStart w:name="Example 79:" w:id="213"/>
      <w:bookmarkEnd w:id="21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79:</w:t>
      </w:r>
    </w:p>
    <w:p>
      <w:pPr>
        <w:pStyle w:val="BodyText"/>
        <w:rPr>
          <w:i/>
        </w:rPr>
      </w:pPr>
    </w:p>
    <w:p>
      <w:pPr>
        <w:spacing w:before="0"/>
        <w:ind w:left="475" w:right="39" w:hanging="10"/>
        <w:jc w:val="both"/>
        <w:rPr>
          <w:i/>
          <w:sz w:val="24"/>
        </w:rPr>
      </w:pPr>
      <w:r>
        <w:rPr>
          <w:i/>
          <w:color w:val="231F20"/>
          <w:sz w:val="24"/>
        </w:rPr>
        <w:t>The Chairman of the Legislative Finance</w:t>
      </w:r>
      <w:r>
        <w:rPr>
          <w:i/>
          <w:color w:val="231F20"/>
          <w:sz w:val="24"/>
        </w:rPr>
        <w:t> Committee, an interim committee, calls a meeting to discuss a study of county and municipal</w:t>
      </w:r>
      <w:r>
        <w:rPr>
          <w:i/>
          <w:color w:val="231F20"/>
          <w:spacing w:val="80"/>
          <w:sz w:val="24"/>
        </w:rPr>
        <w:t> </w:t>
      </w:r>
      <w:r>
        <w:rPr>
          <w:i/>
          <w:color w:val="231F20"/>
          <w:sz w:val="24"/>
        </w:rPr>
        <w:t>finances ordered by a joint resolution during the previous legislative session. An open meeting must be held.</w:t>
      </w:r>
    </w:p>
    <w:p>
      <w:pPr>
        <w:pStyle w:val="BodyText"/>
        <w:rPr>
          <w:i/>
        </w:rPr>
      </w:pPr>
    </w:p>
    <w:p>
      <w:pPr>
        <w:spacing w:before="0"/>
        <w:ind w:left="465" w:right="0" w:firstLine="0"/>
        <w:jc w:val="both"/>
        <w:rPr>
          <w:i/>
          <w:sz w:val="24"/>
        </w:rPr>
      </w:pPr>
      <w:bookmarkStart w:name="Example 80:" w:id="214"/>
      <w:bookmarkEnd w:id="21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80:</w:t>
      </w:r>
    </w:p>
    <w:p>
      <w:pPr>
        <w:pStyle w:val="BodyText"/>
        <w:rPr>
          <w:i/>
        </w:rPr>
      </w:pPr>
    </w:p>
    <w:p>
      <w:pPr>
        <w:spacing w:before="0"/>
        <w:ind w:left="475" w:right="39" w:hanging="10"/>
        <w:jc w:val="both"/>
        <w:rPr>
          <w:i/>
          <w:sz w:val="24"/>
        </w:rPr>
      </w:pPr>
      <w:r>
        <w:rPr>
          <w:i/>
          <w:color w:val="231F20"/>
          <w:sz w:val="24"/>
        </w:rPr>
        <w:t>During a legislative session, the house standing</w:t>
      </w:r>
      <w:r>
        <w:rPr>
          <w:i/>
          <w:color w:val="231F20"/>
          <w:sz w:val="24"/>
        </w:rPr>
        <w:t> committee on education and the senate standing committee on education have been unable </w:t>
      </w:r>
      <w:r>
        <w:rPr>
          <w:i/>
          <w:color w:val="231F20"/>
          <w:sz w:val="24"/>
        </w:rPr>
        <w:t>to resolve a major issue on a bill that has been sent back to the house by the senate several times. Testimony and remarks from the public has been lengthy and disruptive. A conference committee of senior members from both the senate’s and the house’s standing education committees was created in an attempt to negotiate language that the house will approve. The conference committee meeting must be open to the public and preceded by reasonable notice to the public.</w:t>
      </w:r>
    </w:p>
    <w:p>
      <w:pPr>
        <w:pStyle w:val="BodyText"/>
        <w:spacing w:before="6"/>
        <w:rPr>
          <w:i/>
        </w:rPr>
      </w:pPr>
    </w:p>
    <w:p>
      <w:pPr>
        <w:pStyle w:val="Heading2"/>
        <w:numPr>
          <w:ilvl w:val="0"/>
          <w:numId w:val="14"/>
        </w:numPr>
        <w:tabs>
          <w:tab w:pos="793" w:val="left" w:leader="none"/>
        </w:tabs>
        <w:spacing w:line="240" w:lineRule="auto" w:before="1" w:after="0"/>
        <w:ind w:left="792" w:right="0" w:hanging="328"/>
        <w:jc w:val="left"/>
      </w:pPr>
      <w:bookmarkStart w:name="_TOC_250007" w:id="215"/>
      <w:bookmarkEnd w:id="215"/>
      <w:r>
        <w:rPr>
          <w:color w:val="231F20"/>
          <w:spacing w:val="-2"/>
        </w:rPr>
        <w:t>Exceptions</w:t>
      </w:r>
    </w:p>
    <w:p>
      <w:pPr>
        <w:pStyle w:val="BodyText"/>
        <w:spacing w:before="9"/>
        <w:rPr>
          <w:b/>
          <w:sz w:val="23"/>
        </w:rPr>
      </w:pPr>
    </w:p>
    <w:p>
      <w:pPr>
        <w:spacing w:before="1"/>
        <w:ind w:left="465" w:right="0" w:firstLine="0"/>
        <w:jc w:val="both"/>
        <w:rPr>
          <w:b/>
          <w:sz w:val="24"/>
        </w:rPr>
      </w:pPr>
      <w:bookmarkStart w:name="The Law" w:id="216"/>
      <w:bookmarkEnd w:id="216"/>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3"/>
        </w:rPr>
      </w:pPr>
    </w:p>
    <w:p>
      <w:pPr>
        <w:spacing w:before="0"/>
        <w:ind w:left="475" w:right="39" w:hanging="10"/>
        <w:jc w:val="both"/>
        <w:rPr>
          <w:b/>
          <w:sz w:val="24"/>
        </w:rPr>
      </w:pPr>
      <w:r>
        <w:rPr>
          <w:b/>
          <w:color w:val="231F20"/>
          <w:sz w:val="24"/>
        </w:rPr>
        <w:t>The provisions of Subsection A of this section</w:t>
      </w:r>
      <w:r>
        <w:rPr>
          <w:b/>
          <w:color w:val="231F20"/>
          <w:spacing w:val="40"/>
          <w:sz w:val="24"/>
        </w:rPr>
        <w:t> </w:t>
      </w:r>
      <w:r>
        <w:rPr>
          <w:b/>
          <w:color w:val="231F20"/>
          <w:sz w:val="24"/>
        </w:rPr>
        <w:t>do not apply to matters relating to personnel or matters adjudicatory in nature or to investigative</w:t>
      </w:r>
      <w:r>
        <w:rPr>
          <w:b/>
          <w:color w:val="231F20"/>
          <w:sz w:val="24"/>
        </w:rPr>
        <w:t> or</w:t>
      </w:r>
      <w:r>
        <w:rPr>
          <w:b/>
          <w:color w:val="231F20"/>
          <w:sz w:val="24"/>
        </w:rPr>
        <w:t> quasi-judicial proceedings relating to ethics and conduct or to a caucus of</w:t>
      </w:r>
      <w:r>
        <w:rPr>
          <w:b/>
          <w:color w:val="231F20"/>
          <w:spacing w:val="40"/>
          <w:sz w:val="24"/>
        </w:rPr>
        <w:t> </w:t>
      </w:r>
      <w:r>
        <w:rPr>
          <w:b/>
          <w:color w:val="231F20"/>
          <w:sz w:val="24"/>
        </w:rPr>
        <w:t>a political party.</w:t>
      </w:r>
    </w:p>
    <w:p>
      <w:pPr>
        <w:pStyle w:val="BodyText"/>
        <w:spacing w:before="7"/>
        <w:rPr>
          <w:b/>
          <w:sz w:val="23"/>
        </w:rPr>
      </w:pPr>
    </w:p>
    <w:p>
      <w:pPr>
        <w:pStyle w:val="BodyText"/>
        <w:ind w:left="465"/>
      </w:pPr>
      <w:bookmarkStart w:name="Commentary" w:id="217"/>
      <w:bookmarkEnd w:id="217"/>
      <w:r>
        <w:rPr/>
      </w:r>
      <w:r>
        <w:rPr>
          <w:color w:val="231F20"/>
          <w:spacing w:val="-2"/>
          <w:u w:val="single" w:color="231F20"/>
        </w:rPr>
        <w:t>Commentary</w:t>
      </w:r>
    </w:p>
    <w:p>
      <w:pPr>
        <w:pStyle w:val="BodyText"/>
      </w:pPr>
    </w:p>
    <w:p>
      <w:pPr>
        <w:pStyle w:val="BodyText"/>
        <w:ind w:left="475" w:right="39" w:hanging="10"/>
        <w:jc w:val="both"/>
      </w:pPr>
      <w:r>
        <w:rPr>
          <w:color w:val="231F20"/>
        </w:rPr>
        <w:t>This Subsection permits standing committees of</w:t>
      </w:r>
      <w:r>
        <w:rPr>
          <w:color w:val="231F20"/>
          <w:spacing w:val="40"/>
        </w:rPr>
        <w:t> </w:t>
      </w:r>
      <w:r>
        <w:rPr>
          <w:color w:val="231F20"/>
        </w:rPr>
        <w:t>the legislature to meet in closed session to discuss matters relating</w:t>
      </w:r>
      <w:r>
        <w:rPr>
          <w:color w:val="231F20"/>
          <w:spacing w:val="-3"/>
        </w:rPr>
        <w:t> </w:t>
      </w:r>
      <w:r>
        <w:rPr>
          <w:color w:val="231F20"/>
        </w:rPr>
        <w:t>to personnel; adjudicatory</w:t>
      </w:r>
      <w:r>
        <w:rPr>
          <w:color w:val="231F20"/>
          <w:spacing w:val="-5"/>
        </w:rPr>
        <w:t> </w:t>
      </w:r>
      <w:r>
        <w:rPr>
          <w:color w:val="231F20"/>
        </w:rPr>
        <w:t>matters; and investigative or quasi-judicial proceedings relating to ethics and conduct.</w:t>
      </w:r>
    </w:p>
    <w:p>
      <w:pPr>
        <w:pStyle w:val="BodyText"/>
      </w:pPr>
    </w:p>
    <w:p>
      <w:pPr>
        <w:pStyle w:val="BodyText"/>
        <w:ind w:left="475" w:right="38" w:hanging="10"/>
        <w:jc w:val="both"/>
      </w:pPr>
      <w:r>
        <w:rPr>
          <w:color w:val="231F20"/>
        </w:rPr>
        <w:t>The</w:t>
      </w:r>
      <w:r>
        <w:rPr>
          <w:color w:val="231F20"/>
          <w:spacing w:val="-6"/>
        </w:rPr>
        <w:t> </w:t>
      </w:r>
      <w:r>
        <w:rPr>
          <w:color w:val="231F20"/>
        </w:rPr>
        <w:t>exception</w:t>
      </w:r>
      <w:r>
        <w:rPr>
          <w:color w:val="231F20"/>
          <w:spacing w:val="-5"/>
        </w:rPr>
        <w:t> </w:t>
      </w:r>
      <w:r>
        <w:rPr>
          <w:color w:val="231F20"/>
        </w:rPr>
        <w:t>for</w:t>
      </w:r>
      <w:r>
        <w:rPr>
          <w:color w:val="231F20"/>
          <w:spacing w:val="-6"/>
        </w:rPr>
        <w:t> </w:t>
      </w:r>
      <w:r>
        <w:rPr>
          <w:color w:val="231F20"/>
        </w:rPr>
        <w:t>“matters</w:t>
      </w:r>
      <w:r>
        <w:rPr>
          <w:color w:val="231F20"/>
          <w:spacing w:val="-5"/>
        </w:rPr>
        <w:t> </w:t>
      </w:r>
      <w:r>
        <w:rPr>
          <w:color w:val="231F20"/>
        </w:rPr>
        <w:t>relating</w:t>
      </w:r>
      <w:r>
        <w:rPr>
          <w:color w:val="231F20"/>
          <w:spacing w:val="-7"/>
        </w:rPr>
        <w:t> </w:t>
      </w:r>
      <w:r>
        <w:rPr>
          <w:color w:val="231F20"/>
        </w:rPr>
        <w:t>to</w:t>
      </w:r>
      <w:r>
        <w:rPr>
          <w:color w:val="231F20"/>
          <w:spacing w:val="-5"/>
        </w:rPr>
        <w:t> </w:t>
      </w:r>
      <w:r>
        <w:rPr>
          <w:color w:val="231F20"/>
        </w:rPr>
        <w:t>personnel”</w:t>
      </w:r>
      <w:r>
        <w:rPr>
          <w:color w:val="231F20"/>
          <w:spacing w:val="-6"/>
        </w:rPr>
        <w:t> </w:t>
      </w:r>
      <w:r>
        <w:rPr>
          <w:color w:val="231F20"/>
        </w:rPr>
        <w:t>is broader than the “limited personnel matters” exception under Section 10-15-1(H)(2).</w:t>
      </w:r>
      <w:r>
        <w:rPr>
          <w:color w:val="231F20"/>
        </w:rPr>
        <w:t> Thus,</w:t>
      </w:r>
      <w:r>
        <w:rPr>
          <w:color w:val="231F20"/>
        </w:rPr>
        <w:t> a legislative</w:t>
      </w:r>
      <w:r>
        <w:rPr>
          <w:color w:val="231F20"/>
          <w:spacing w:val="37"/>
        </w:rPr>
        <w:t> </w:t>
      </w:r>
      <w:r>
        <w:rPr>
          <w:color w:val="231F20"/>
        </w:rPr>
        <w:t>committee</w:t>
      </w:r>
      <w:r>
        <w:rPr>
          <w:color w:val="231F20"/>
          <w:spacing w:val="35"/>
        </w:rPr>
        <w:t> </w:t>
      </w:r>
      <w:r>
        <w:rPr>
          <w:color w:val="231F20"/>
        </w:rPr>
        <w:t>may</w:t>
      </w:r>
      <w:r>
        <w:rPr>
          <w:color w:val="231F20"/>
          <w:spacing w:val="34"/>
        </w:rPr>
        <w:t> </w:t>
      </w:r>
      <w:r>
        <w:rPr>
          <w:color w:val="231F20"/>
        </w:rPr>
        <w:t>hold</w:t>
      </w:r>
      <w:r>
        <w:rPr>
          <w:color w:val="231F20"/>
          <w:spacing w:val="38"/>
        </w:rPr>
        <w:t> </w:t>
      </w:r>
      <w:r>
        <w:rPr>
          <w:color w:val="231F20"/>
        </w:rPr>
        <w:t>a</w:t>
      </w:r>
      <w:r>
        <w:rPr>
          <w:color w:val="231F20"/>
          <w:spacing w:val="35"/>
        </w:rPr>
        <w:t> </w:t>
      </w:r>
      <w:r>
        <w:rPr>
          <w:color w:val="231F20"/>
        </w:rPr>
        <w:t>closed</w:t>
      </w:r>
      <w:r>
        <w:rPr>
          <w:color w:val="231F20"/>
          <w:spacing w:val="38"/>
        </w:rPr>
        <w:t> </w:t>
      </w:r>
      <w:r>
        <w:rPr>
          <w:color w:val="231F20"/>
          <w:spacing w:val="-2"/>
        </w:rPr>
        <w:t>meeting</w:t>
      </w:r>
    </w:p>
    <w:p>
      <w:pPr>
        <w:pStyle w:val="BodyText"/>
        <w:spacing w:before="90"/>
        <w:ind w:left="475" w:right="350"/>
        <w:jc w:val="both"/>
      </w:pPr>
      <w:r>
        <w:rPr/>
        <w:br w:type="column"/>
      </w:r>
      <w:r>
        <w:rPr>
          <w:color w:val="231F20"/>
        </w:rPr>
        <w:t>to discuss personnel matters not directly related to an individual employee. </w:t>
      </w:r>
      <w:r>
        <w:rPr>
          <w:i/>
          <w:color w:val="231F20"/>
        </w:rPr>
        <w:t>See </w:t>
      </w:r>
      <w:r>
        <w:rPr>
          <w:color w:val="231F20"/>
          <w:u w:val="single" w:color="231F20"/>
        </w:rPr>
        <w:t>State v. Hernandez</w:t>
      </w:r>
      <w:r>
        <w:rPr>
          <w:color w:val="231F20"/>
        </w:rPr>
        <w:t>,</w:t>
      </w:r>
      <w:r>
        <w:rPr>
          <w:color w:val="231F20"/>
          <w:spacing w:val="40"/>
        </w:rPr>
        <w:t> </w:t>
      </w:r>
      <w:r>
        <w:rPr>
          <w:color w:val="231F20"/>
        </w:rPr>
        <w:t>89</w:t>
      </w:r>
      <w:r>
        <w:rPr>
          <w:color w:val="231F20"/>
          <w:spacing w:val="48"/>
        </w:rPr>
        <w:t> </w:t>
      </w:r>
      <w:r>
        <w:rPr>
          <w:color w:val="231F20"/>
        </w:rPr>
        <w:t>N.M.</w:t>
      </w:r>
      <w:r>
        <w:rPr>
          <w:color w:val="231F20"/>
          <w:spacing w:val="49"/>
        </w:rPr>
        <w:t> </w:t>
      </w:r>
      <w:r>
        <w:rPr>
          <w:color w:val="231F20"/>
        </w:rPr>
        <w:t>698,</w:t>
      </w:r>
      <w:r>
        <w:rPr>
          <w:color w:val="231F20"/>
          <w:spacing w:val="49"/>
        </w:rPr>
        <w:t> </w:t>
      </w:r>
      <w:r>
        <w:rPr>
          <w:color w:val="231F20"/>
        </w:rPr>
        <w:t>556</w:t>
      </w:r>
      <w:r>
        <w:rPr>
          <w:color w:val="231F20"/>
          <w:spacing w:val="49"/>
        </w:rPr>
        <w:t> </w:t>
      </w:r>
      <w:r>
        <w:rPr>
          <w:color w:val="231F20"/>
        </w:rPr>
        <w:t>P.2d</w:t>
      </w:r>
      <w:r>
        <w:rPr>
          <w:color w:val="231F20"/>
          <w:spacing w:val="47"/>
        </w:rPr>
        <w:t> </w:t>
      </w:r>
      <w:r>
        <w:rPr>
          <w:color w:val="231F20"/>
        </w:rPr>
        <w:t>1174</w:t>
      </w:r>
      <w:r>
        <w:rPr>
          <w:color w:val="231F20"/>
          <w:spacing w:val="49"/>
        </w:rPr>
        <w:t> </w:t>
      </w:r>
      <w:r>
        <w:rPr>
          <w:color w:val="231F20"/>
        </w:rPr>
        <w:t>(1976)</w:t>
      </w:r>
      <w:r>
        <w:rPr>
          <w:color w:val="231F20"/>
          <w:spacing w:val="48"/>
        </w:rPr>
        <w:t> </w:t>
      </w:r>
      <w:r>
        <w:rPr>
          <w:color w:val="231F20"/>
          <w:spacing w:val="-2"/>
        </w:rPr>
        <w:t>(discussing</w:t>
      </w:r>
    </w:p>
    <w:p>
      <w:pPr>
        <w:pStyle w:val="BodyText"/>
        <w:ind w:left="475" w:right="350"/>
        <w:jc w:val="both"/>
      </w:pPr>
      <w:r>
        <w:rPr>
          <w:color w:val="231F20"/>
        </w:rPr>
        <w:t>predecessor</w:t>
      </w:r>
      <w:r>
        <w:rPr>
          <w:color w:val="231F20"/>
        </w:rPr>
        <w:t> open</w:t>
      </w:r>
      <w:r>
        <w:rPr>
          <w:color w:val="231F20"/>
        </w:rPr>
        <w:t> meetings law that permitted closed meetings to discuss “personnel matters” without defining that term).</w:t>
      </w:r>
    </w:p>
    <w:p>
      <w:pPr>
        <w:pStyle w:val="BodyText"/>
      </w:pPr>
    </w:p>
    <w:p>
      <w:pPr>
        <w:spacing w:before="0"/>
        <w:ind w:left="465" w:right="0" w:firstLine="0"/>
        <w:jc w:val="both"/>
        <w:rPr>
          <w:i/>
          <w:sz w:val="24"/>
        </w:rPr>
      </w:pPr>
      <w:bookmarkStart w:name="Example 81:" w:id="218"/>
      <w:bookmarkEnd w:id="21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81:</w:t>
      </w:r>
    </w:p>
    <w:p>
      <w:pPr>
        <w:pStyle w:val="BodyText"/>
        <w:rPr>
          <w:i/>
        </w:rPr>
      </w:pPr>
    </w:p>
    <w:p>
      <w:pPr>
        <w:spacing w:before="0"/>
        <w:ind w:left="475" w:right="348" w:hanging="10"/>
        <w:jc w:val="both"/>
        <w:rPr>
          <w:i/>
          <w:sz w:val="24"/>
        </w:rPr>
      </w:pPr>
      <w:r>
        <w:rPr>
          <w:i/>
          <w:color w:val="231F20"/>
          <w:sz w:val="24"/>
        </w:rPr>
        <w:t>The Committee of the Senate meets to discuss and</w:t>
      </w:r>
      <w:r>
        <w:rPr>
          <w:i/>
          <w:color w:val="231F20"/>
          <w:sz w:val="24"/>
        </w:rPr>
        <w:t> approve a policy for hiring persons recommended by the Chief Clerk of the</w:t>
      </w:r>
      <w:r>
        <w:rPr>
          <w:i/>
          <w:color w:val="231F20"/>
          <w:spacing w:val="-2"/>
          <w:sz w:val="24"/>
        </w:rPr>
        <w:t> </w:t>
      </w:r>
      <w:r>
        <w:rPr>
          <w:i/>
          <w:color w:val="231F20"/>
          <w:sz w:val="24"/>
        </w:rPr>
        <w:t>Senate to work during</w:t>
      </w:r>
      <w:r>
        <w:rPr>
          <w:i/>
          <w:color w:val="231F20"/>
          <w:spacing w:val="-1"/>
          <w:sz w:val="24"/>
        </w:rPr>
        <w:t> </w:t>
      </w:r>
      <w:r>
        <w:rPr>
          <w:i/>
          <w:color w:val="231F20"/>
          <w:sz w:val="24"/>
        </w:rPr>
        <w:t>the legislative session. This meeting may be closed. By contrast, public bodies subject to the limited personnel matters exception in Section 10-15- 1(H)(2)</w:t>
      </w:r>
      <w:r>
        <w:rPr>
          <w:i/>
          <w:color w:val="231F20"/>
          <w:spacing w:val="-2"/>
          <w:sz w:val="24"/>
        </w:rPr>
        <w:t> </w:t>
      </w:r>
      <w:r>
        <w:rPr>
          <w:i/>
          <w:color w:val="231F20"/>
          <w:sz w:val="24"/>
        </w:rPr>
        <w:t>would have to discuss the same topic in an open meeting because it does not relate to an individual employee.</w:t>
      </w:r>
    </w:p>
    <w:p>
      <w:pPr>
        <w:pStyle w:val="BodyText"/>
        <w:rPr>
          <w:i/>
        </w:rPr>
      </w:pPr>
    </w:p>
    <w:p>
      <w:pPr>
        <w:pStyle w:val="BodyText"/>
        <w:ind w:left="465"/>
      </w:pPr>
      <w:bookmarkStart w:name="Commentary" w:id="219"/>
      <w:bookmarkEnd w:id="219"/>
      <w:r>
        <w:rPr/>
      </w:r>
      <w:r>
        <w:rPr>
          <w:color w:val="231F20"/>
          <w:spacing w:val="-2"/>
          <w:u w:val="single" w:color="231F20"/>
        </w:rPr>
        <w:t>Commentary</w:t>
      </w:r>
    </w:p>
    <w:p>
      <w:pPr>
        <w:pStyle w:val="BodyText"/>
      </w:pPr>
    </w:p>
    <w:p>
      <w:pPr>
        <w:pStyle w:val="BodyText"/>
        <w:ind w:left="475" w:right="350" w:hanging="10"/>
        <w:jc w:val="both"/>
      </w:pPr>
      <w:r>
        <w:rPr>
          <w:color w:val="231F20"/>
        </w:rPr>
        <w:t>The Act does not define “matters adjudicatory in nature” that a standing committee might discuss in a closed session, but generally the term refers to hearings and other proceedings in court.</w:t>
      </w:r>
    </w:p>
    <w:p>
      <w:pPr>
        <w:pStyle w:val="BodyText"/>
      </w:pPr>
    </w:p>
    <w:p>
      <w:pPr>
        <w:pStyle w:val="BodyText"/>
        <w:ind w:left="475" w:right="348" w:hanging="10"/>
        <w:jc w:val="both"/>
      </w:pPr>
      <w:r>
        <w:rPr>
          <w:color w:val="231F20"/>
        </w:rPr>
        <w:t>Subsection B also excepts investigative or quasi- judicial proceedings relating to ethics or conduct from the public meeting requirement. The New Mexico Constitution has conferred on the legislature certain functions that may properly be considered quasi-judicial. For example, the power to impeach state officers is vested in the House of Representatives and the impeachment is tried by the Senate. </w:t>
      </w:r>
      <w:r>
        <w:rPr>
          <w:i/>
          <w:color w:val="231F20"/>
        </w:rPr>
        <w:t>See </w:t>
      </w:r>
      <w:r>
        <w:rPr>
          <w:color w:val="231F20"/>
        </w:rPr>
        <w:t>New Mexico Constitution, Article IV, Sections 35 and 36. Thus, the presiding officer of a standing committee might call a closed meeting to discuss the impeachment of a state officer. The Act would not apply to the actual impeachment and trial, and would not justify closing proceedings required to be public by Article</w:t>
      </w:r>
      <w:r>
        <w:rPr>
          <w:color w:val="231F20"/>
        </w:rPr>
        <w:t> IV, Section 12 of the New Mexico Constitution or other authority.</w:t>
      </w:r>
    </w:p>
    <w:p>
      <w:pPr>
        <w:pStyle w:val="BodyText"/>
        <w:spacing w:before="9"/>
        <w:rPr>
          <w:sz w:val="23"/>
        </w:rPr>
      </w:pPr>
    </w:p>
    <w:p>
      <w:pPr>
        <w:pStyle w:val="BodyText"/>
        <w:spacing w:before="1"/>
        <w:ind w:left="475" w:right="348" w:hanging="10"/>
        <w:jc w:val="both"/>
      </w:pPr>
      <w:r>
        <w:rPr>
          <w:color w:val="231F20"/>
        </w:rPr>
        <w:t>Subsection B expressly excludes political party caucuses from the public meeting requirement applicable to standing and conference committees of the legislature.</w:t>
      </w:r>
    </w:p>
    <w:p>
      <w:pPr>
        <w:spacing w:after="0"/>
        <w:jc w:val="both"/>
        <w:sectPr>
          <w:type w:val="continuous"/>
          <w:pgSz w:w="12240" w:h="15840"/>
          <w:pgMar w:header="660" w:footer="484" w:top="480" w:bottom="280" w:left="360" w:right="240"/>
          <w:cols w:num="2" w:equalWidth="0">
            <w:col w:w="5447" w:space="435"/>
            <w:col w:w="5758"/>
          </w:cols>
        </w:sectPr>
      </w:pPr>
    </w:p>
    <w:p>
      <w:pPr>
        <w:pStyle w:val="BodyText"/>
        <w:spacing w:before="3"/>
        <w:rPr>
          <w:sz w:val="16"/>
        </w:rPr>
      </w:pPr>
    </w:p>
    <w:p>
      <w:pPr>
        <w:pStyle w:val="Heading2"/>
        <w:numPr>
          <w:ilvl w:val="0"/>
          <w:numId w:val="14"/>
        </w:numPr>
        <w:tabs>
          <w:tab w:pos="807" w:val="left" w:leader="none"/>
        </w:tabs>
        <w:spacing w:line="240" w:lineRule="auto" w:before="89" w:after="0"/>
        <w:ind w:left="806" w:right="0" w:hanging="342"/>
        <w:jc w:val="left"/>
      </w:pPr>
      <w:bookmarkStart w:name="_TOC_250006" w:id="220"/>
      <w:r>
        <w:rPr>
          <w:color w:val="231F20"/>
        </w:rPr>
        <w:t>Definition</w:t>
      </w:r>
      <w:r>
        <w:rPr>
          <w:color w:val="231F20"/>
          <w:spacing w:val="-4"/>
        </w:rPr>
        <w:t> </w:t>
      </w:r>
      <w:r>
        <w:rPr>
          <w:color w:val="231F20"/>
        </w:rPr>
        <w:t>of</w:t>
      </w:r>
      <w:r>
        <w:rPr>
          <w:color w:val="231F20"/>
          <w:spacing w:val="-1"/>
        </w:rPr>
        <w:t> </w:t>
      </w:r>
      <w:bookmarkEnd w:id="220"/>
      <w:r>
        <w:rPr>
          <w:color w:val="231F20"/>
          <w:spacing w:val="-2"/>
        </w:rPr>
        <w:t>“Meeting”</w:t>
      </w:r>
    </w:p>
    <w:p>
      <w:pPr>
        <w:pStyle w:val="BodyText"/>
        <w:spacing w:before="10"/>
        <w:rPr>
          <w:b/>
          <w:sz w:val="23"/>
        </w:rPr>
      </w:pPr>
    </w:p>
    <w:p>
      <w:pPr>
        <w:spacing w:before="0"/>
        <w:ind w:left="465" w:right="0" w:firstLine="0"/>
        <w:jc w:val="left"/>
        <w:rPr>
          <w:b/>
          <w:sz w:val="24"/>
        </w:rPr>
      </w:pPr>
      <w:bookmarkStart w:name="The Law" w:id="221"/>
      <w:bookmarkEnd w:id="221"/>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2"/>
        <w:rPr>
          <w:b/>
          <w:sz w:val="16"/>
        </w:rPr>
      </w:pPr>
    </w:p>
    <w:p>
      <w:pPr>
        <w:spacing w:before="90"/>
        <w:ind w:left="475" w:right="6232" w:hanging="10"/>
        <w:jc w:val="both"/>
        <w:rPr>
          <w:b/>
          <w:sz w:val="24"/>
        </w:rPr>
      </w:pPr>
      <w:r>
        <w:rPr>
          <w:b/>
          <w:color w:val="231F20"/>
          <w:sz w:val="24"/>
        </w:rPr>
        <w:t>For the purposes of this section, “meeting” means a gathering of a quorum of the members of a standing committee or conference committee</w:t>
      </w:r>
      <w:r>
        <w:rPr>
          <w:b/>
          <w:color w:val="231F20"/>
          <w:sz w:val="24"/>
        </w:rPr>
        <w:t> held for the purpose of taking any action within the authority of the committee or </w:t>
      </w:r>
      <w:r>
        <w:rPr>
          <w:b/>
          <w:color w:val="231F20"/>
          <w:spacing w:val="-4"/>
          <w:sz w:val="24"/>
        </w:rPr>
        <w:t>body.</w:t>
      </w:r>
    </w:p>
    <w:p>
      <w:pPr>
        <w:pStyle w:val="BodyText"/>
        <w:spacing w:before="7"/>
        <w:rPr>
          <w:b/>
          <w:sz w:val="23"/>
        </w:rPr>
      </w:pPr>
    </w:p>
    <w:p>
      <w:pPr>
        <w:pStyle w:val="BodyText"/>
        <w:ind w:left="465"/>
      </w:pPr>
      <w:bookmarkStart w:name="Commentary" w:id="222"/>
      <w:bookmarkEnd w:id="222"/>
      <w:r>
        <w:rPr/>
      </w:r>
      <w:r>
        <w:rPr>
          <w:color w:val="231F20"/>
          <w:spacing w:val="-2"/>
          <w:u w:val="single" w:color="231F20"/>
        </w:rPr>
        <w:t>Commentary</w:t>
      </w:r>
    </w:p>
    <w:p>
      <w:pPr>
        <w:pStyle w:val="BodyText"/>
        <w:spacing w:before="2"/>
        <w:rPr>
          <w:sz w:val="16"/>
        </w:rPr>
      </w:pPr>
    </w:p>
    <w:p>
      <w:pPr>
        <w:spacing w:before="90"/>
        <w:ind w:left="465" w:right="0" w:firstLine="0"/>
        <w:jc w:val="left"/>
        <w:rPr>
          <w:sz w:val="24"/>
        </w:rPr>
      </w:pPr>
      <w:bookmarkStart w:name="See Section IV.A." w:id="223"/>
      <w:bookmarkEnd w:id="223"/>
      <w:r>
        <w:rPr/>
      </w:r>
      <w:r>
        <w:rPr>
          <w:i/>
          <w:color w:val="231F20"/>
          <w:sz w:val="24"/>
        </w:rPr>
        <w:t>See</w:t>
      </w:r>
      <w:r>
        <w:rPr>
          <w:i/>
          <w:color w:val="231F20"/>
          <w:spacing w:val="-4"/>
          <w:sz w:val="24"/>
        </w:rPr>
        <w:t> </w:t>
      </w:r>
      <w:r>
        <w:rPr>
          <w:color w:val="231F20"/>
          <w:sz w:val="24"/>
        </w:rPr>
        <w:t>Section </w:t>
      </w:r>
      <w:r>
        <w:rPr>
          <w:color w:val="231F20"/>
          <w:spacing w:val="-2"/>
          <w:sz w:val="24"/>
        </w:rPr>
        <w:t>IV.A.</w:t>
      </w:r>
    </w:p>
    <w:p>
      <w:pPr>
        <w:spacing w:after="0"/>
        <w:jc w:val="left"/>
        <w:rPr>
          <w:sz w:val="24"/>
        </w:rPr>
        <w:sectPr>
          <w:pgSz w:w="12240" w:h="15840"/>
          <w:pgMar w:header="660" w:footer="484" w:top="960" w:bottom="900" w:left="360" w:right="240"/>
        </w:sectPr>
      </w:pPr>
    </w:p>
    <w:p>
      <w:pPr>
        <w:pStyle w:val="BodyText"/>
        <w:spacing w:before="2"/>
        <w:rPr>
          <w:sz w:val="17"/>
        </w:rPr>
      </w:pPr>
    </w:p>
    <w:p>
      <w:pPr>
        <w:pStyle w:val="Heading1"/>
        <w:numPr>
          <w:ilvl w:val="0"/>
          <w:numId w:val="2"/>
        </w:numPr>
        <w:tabs>
          <w:tab w:pos="2271" w:val="left" w:leader="none"/>
        </w:tabs>
        <w:spacing w:line="240" w:lineRule="auto" w:before="75" w:after="0"/>
        <w:ind w:left="4814" w:right="1427" w:hanging="3274"/>
        <w:jc w:val="left"/>
        <w:rPr>
          <w:color w:val="231F20"/>
        </w:rPr>
      </w:pPr>
      <w:bookmarkStart w:name="_TOC_250005" w:id="224"/>
      <w:bookmarkStart w:name="V. Section 10-15-3. Invalid Actions; Sta" w:id="225"/>
      <w:r>
        <w:rPr>
          <w:color w:val="231F20"/>
        </w:rPr>
        <w:t>Sec</w:t>
      </w:r>
      <w:r>
        <w:rPr>
          <w:color w:val="231F20"/>
        </w:rPr>
        <w:t>tion</w:t>
      </w:r>
      <w:r>
        <w:rPr>
          <w:color w:val="231F20"/>
          <w:spacing w:val="-25"/>
        </w:rPr>
        <w:t> </w:t>
      </w:r>
      <w:r>
        <w:rPr>
          <w:color w:val="231F20"/>
        </w:rPr>
        <w:t>10-15-3.</w:t>
      </w:r>
      <w:r>
        <w:rPr>
          <w:color w:val="231F20"/>
          <w:spacing w:val="-89"/>
        </w:rPr>
        <w:t> </w:t>
      </w:r>
      <w:r>
        <w:rPr>
          <w:color w:val="231F20"/>
        </w:rPr>
        <w:t>Invalid</w:t>
      </w:r>
      <w:r>
        <w:rPr>
          <w:color w:val="231F20"/>
          <w:spacing w:val="-17"/>
        </w:rPr>
        <w:t> </w:t>
      </w:r>
      <w:r>
        <w:rPr>
          <w:color w:val="231F20"/>
        </w:rPr>
        <w:t>Actions; </w:t>
      </w:r>
      <w:bookmarkEnd w:id="224"/>
      <w:r>
        <w:rPr>
          <w:color w:val="231F20"/>
          <w:spacing w:val="-2"/>
        </w:rPr>
        <w:t>Standing</w:t>
      </w:r>
    </w:p>
    <w:p>
      <w:pPr>
        <w:pStyle w:val="BodyText"/>
        <w:rPr>
          <w:sz w:val="16"/>
        </w:rPr>
      </w:pPr>
    </w:p>
    <w:p>
      <w:pPr>
        <w:spacing w:after="0"/>
        <w:rPr>
          <w:sz w:val="16"/>
        </w:rPr>
        <w:sectPr>
          <w:pgSz w:w="12240" w:h="15840"/>
          <w:pgMar w:header="660" w:footer="484" w:top="960" w:bottom="720" w:left="360" w:right="240"/>
        </w:sectPr>
      </w:pPr>
    </w:p>
    <w:p>
      <w:pPr>
        <w:pStyle w:val="Heading2"/>
        <w:numPr>
          <w:ilvl w:val="0"/>
          <w:numId w:val="15"/>
        </w:numPr>
        <w:tabs>
          <w:tab w:pos="807" w:val="left" w:leader="none"/>
        </w:tabs>
        <w:spacing w:line="240" w:lineRule="auto" w:before="141" w:after="0"/>
        <w:ind w:left="806" w:right="0" w:hanging="342"/>
        <w:jc w:val="left"/>
      </w:pPr>
      <w:bookmarkStart w:name="_TOC_250004" w:id="226"/>
      <w:bookmarkStart w:name="A. Invalid Actions" w:id="227"/>
      <w:r>
        <w:rPr>
          <w:color w:val="231F20"/>
        </w:rPr>
        <w:t>I</w:t>
      </w:r>
      <w:r>
        <w:rPr>
          <w:color w:val="231F20"/>
        </w:rPr>
        <w:t>nvalid</w:t>
      </w:r>
      <w:r>
        <w:rPr>
          <w:color w:val="231F20"/>
          <w:spacing w:val="-3"/>
        </w:rPr>
        <w:t> </w:t>
      </w:r>
      <w:bookmarkEnd w:id="226"/>
      <w:r>
        <w:rPr>
          <w:color w:val="231F20"/>
          <w:spacing w:val="-2"/>
        </w:rPr>
        <w:t>Actions</w:t>
      </w:r>
    </w:p>
    <w:p>
      <w:pPr>
        <w:pStyle w:val="BodyText"/>
        <w:spacing w:before="10"/>
        <w:rPr>
          <w:b/>
          <w:sz w:val="27"/>
        </w:rPr>
      </w:pPr>
    </w:p>
    <w:p>
      <w:pPr>
        <w:spacing w:before="0"/>
        <w:ind w:left="465" w:right="0" w:firstLine="0"/>
        <w:jc w:val="both"/>
        <w:rPr>
          <w:b/>
          <w:sz w:val="24"/>
        </w:rPr>
      </w:pPr>
      <w:bookmarkStart w:name="The Law" w:id="228"/>
      <w:bookmarkEnd w:id="228"/>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7"/>
        </w:rPr>
      </w:pPr>
    </w:p>
    <w:p>
      <w:pPr>
        <w:spacing w:before="0"/>
        <w:ind w:left="475" w:right="38" w:hanging="10"/>
        <w:jc w:val="both"/>
        <w:rPr>
          <w:b/>
          <w:sz w:val="24"/>
        </w:rPr>
      </w:pPr>
      <w:r>
        <w:rPr>
          <w:b/>
          <w:color w:val="231F20"/>
          <w:sz w:val="24"/>
        </w:rPr>
        <w:t>No resolution, rule, regulation, ordinance or action of any board, commission, committee or other policymaking body shall be valid unless taken or made at a meeting held in accordance with the requirements of NMSA 1978, Section 10-15-1. Every resolution, rule, regulation, ordinance or action of any board, commission, committee or other policymaking body shall be presumed to have been taken or made at a meeting held in accordance with the requirements of NMSA 1978, Section 10-15-1.</w:t>
      </w:r>
    </w:p>
    <w:p>
      <w:pPr>
        <w:pStyle w:val="BodyText"/>
        <w:spacing w:before="7"/>
        <w:rPr>
          <w:b/>
          <w:sz w:val="23"/>
        </w:rPr>
      </w:pPr>
    </w:p>
    <w:p>
      <w:pPr>
        <w:pStyle w:val="BodyText"/>
        <w:ind w:left="465"/>
      </w:pPr>
      <w:bookmarkStart w:name="Commentary" w:id="229"/>
      <w:bookmarkEnd w:id="229"/>
      <w:r>
        <w:rPr/>
      </w:r>
      <w:r>
        <w:rPr>
          <w:color w:val="231F20"/>
          <w:spacing w:val="-2"/>
          <w:u w:val="single" w:color="231F20"/>
        </w:rPr>
        <w:t>Commentary</w:t>
      </w:r>
    </w:p>
    <w:p>
      <w:pPr>
        <w:pStyle w:val="BodyText"/>
      </w:pPr>
    </w:p>
    <w:p>
      <w:pPr>
        <w:pStyle w:val="BodyText"/>
        <w:ind w:left="475" w:right="38" w:hanging="10"/>
        <w:jc w:val="both"/>
      </w:pPr>
      <w:r>
        <w:rPr>
          <w:color w:val="231F20"/>
        </w:rPr>
        <w:t>This provision establishes a presumption that actions taken by public bodies have been taken </w:t>
      </w:r>
      <w:r>
        <w:rPr>
          <w:color w:val="231F20"/>
        </w:rPr>
        <w:t>at meetings that conform to the requirements of the Act. Where this is shown not to be the case, the actions of a public body may be held invalid.</w:t>
      </w:r>
    </w:p>
    <w:p>
      <w:pPr>
        <w:pStyle w:val="BodyText"/>
      </w:pPr>
    </w:p>
    <w:p>
      <w:pPr>
        <w:spacing w:before="0"/>
        <w:ind w:left="465" w:right="0" w:firstLine="0"/>
        <w:jc w:val="left"/>
        <w:rPr>
          <w:i/>
          <w:sz w:val="24"/>
        </w:rPr>
      </w:pPr>
      <w:bookmarkStart w:name="Example 82:" w:id="230"/>
      <w:bookmarkEnd w:id="23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82:</w:t>
      </w:r>
    </w:p>
    <w:p>
      <w:pPr>
        <w:pStyle w:val="BodyText"/>
        <w:rPr>
          <w:i/>
        </w:rPr>
      </w:pPr>
    </w:p>
    <w:p>
      <w:pPr>
        <w:spacing w:before="0"/>
        <w:ind w:left="475" w:right="38" w:hanging="10"/>
        <w:jc w:val="both"/>
        <w:rPr>
          <w:i/>
          <w:sz w:val="24"/>
        </w:rPr>
      </w:pPr>
      <w:r>
        <w:rPr>
          <w:i/>
          <w:color w:val="231F20"/>
          <w:sz w:val="24"/>
        </w:rPr>
        <w:t>A state board with rulemaking authority meets in</w:t>
      </w:r>
      <w:r>
        <w:rPr>
          <w:i/>
          <w:color w:val="231F20"/>
          <w:sz w:val="24"/>
        </w:rPr>
        <w:t> closed session with its attorney to discuss the legality of its Rule X. The attorney advises that Rule X is probably illegal. The board votes in closed</w:t>
      </w:r>
      <w:r>
        <w:rPr>
          <w:i/>
          <w:color w:val="231F20"/>
          <w:spacing w:val="-4"/>
          <w:sz w:val="24"/>
        </w:rPr>
        <w:t> </w:t>
      </w:r>
      <w:r>
        <w:rPr>
          <w:i/>
          <w:color w:val="231F20"/>
          <w:sz w:val="24"/>
        </w:rPr>
        <w:t>session</w:t>
      </w:r>
      <w:r>
        <w:rPr>
          <w:i/>
          <w:color w:val="231F20"/>
          <w:spacing w:val="-4"/>
          <w:sz w:val="24"/>
        </w:rPr>
        <w:t> </w:t>
      </w:r>
      <w:r>
        <w:rPr>
          <w:i/>
          <w:color w:val="231F20"/>
          <w:sz w:val="24"/>
        </w:rPr>
        <w:t>to</w:t>
      </w:r>
      <w:r>
        <w:rPr>
          <w:i/>
          <w:color w:val="231F20"/>
          <w:spacing w:val="-2"/>
          <w:sz w:val="24"/>
        </w:rPr>
        <w:t> </w:t>
      </w:r>
      <w:r>
        <w:rPr>
          <w:i/>
          <w:color w:val="231F20"/>
          <w:sz w:val="24"/>
        </w:rPr>
        <w:t>rescind</w:t>
      </w:r>
      <w:r>
        <w:rPr>
          <w:i/>
          <w:color w:val="231F20"/>
          <w:spacing w:val="-2"/>
          <w:sz w:val="24"/>
        </w:rPr>
        <w:t> </w:t>
      </w:r>
      <w:r>
        <w:rPr>
          <w:i/>
          <w:color w:val="231F20"/>
          <w:sz w:val="24"/>
        </w:rPr>
        <w:t>the</w:t>
      </w:r>
      <w:r>
        <w:rPr>
          <w:i/>
          <w:color w:val="231F20"/>
          <w:spacing w:val="-5"/>
          <w:sz w:val="24"/>
        </w:rPr>
        <w:t> </w:t>
      </w:r>
      <w:r>
        <w:rPr>
          <w:i/>
          <w:color w:val="231F20"/>
          <w:sz w:val="24"/>
        </w:rPr>
        <w:t>rule.</w:t>
      </w:r>
      <w:r>
        <w:rPr>
          <w:i/>
          <w:color w:val="231F20"/>
          <w:spacing w:val="-4"/>
          <w:sz w:val="24"/>
        </w:rPr>
        <w:t> </w:t>
      </w:r>
      <w:r>
        <w:rPr>
          <w:i/>
          <w:color w:val="231F20"/>
          <w:sz w:val="24"/>
        </w:rPr>
        <w:t>The</w:t>
      </w:r>
      <w:r>
        <w:rPr>
          <w:i/>
          <w:color w:val="231F20"/>
          <w:spacing w:val="-3"/>
          <w:sz w:val="24"/>
        </w:rPr>
        <w:t> </w:t>
      </w:r>
      <w:r>
        <w:rPr>
          <w:i/>
          <w:color w:val="231F20"/>
          <w:sz w:val="24"/>
        </w:rPr>
        <w:t>action</w:t>
      </w:r>
      <w:r>
        <w:rPr>
          <w:i/>
          <w:color w:val="231F20"/>
          <w:spacing w:val="-4"/>
          <w:sz w:val="24"/>
        </w:rPr>
        <w:t> </w:t>
      </w:r>
      <w:r>
        <w:rPr>
          <w:i/>
          <w:color w:val="231F20"/>
          <w:sz w:val="24"/>
        </w:rPr>
        <w:t>of</w:t>
      </w:r>
      <w:r>
        <w:rPr>
          <w:i/>
          <w:color w:val="231F20"/>
          <w:spacing w:val="-4"/>
          <w:sz w:val="24"/>
        </w:rPr>
        <w:t> </w:t>
      </w:r>
      <w:r>
        <w:rPr>
          <w:i/>
          <w:color w:val="231F20"/>
          <w:sz w:val="24"/>
        </w:rPr>
        <w:t>the board is of no effect because it did not relate directly to the litigation and was not taken in open session. In order for the rescission to be valid and enforceable, it must be accomplished at a properly noticed open meeting.</w:t>
      </w:r>
    </w:p>
    <w:p>
      <w:pPr>
        <w:pStyle w:val="BodyText"/>
        <w:rPr>
          <w:i/>
        </w:rPr>
      </w:pPr>
    </w:p>
    <w:p>
      <w:pPr>
        <w:spacing w:before="0"/>
        <w:ind w:left="465" w:right="0" w:firstLine="0"/>
        <w:jc w:val="left"/>
        <w:rPr>
          <w:i/>
          <w:sz w:val="24"/>
        </w:rPr>
      </w:pPr>
      <w:bookmarkStart w:name="Example 83:" w:id="231"/>
      <w:bookmarkEnd w:id="23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83:</w:t>
      </w:r>
    </w:p>
    <w:p>
      <w:pPr>
        <w:pStyle w:val="BodyText"/>
        <w:rPr>
          <w:i/>
        </w:rPr>
      </w:pPr>
    </w:p>
    <w:p>
      <w:pPr>
        <w:spacing w:before="1"/>
        <w:ind w:left="475" w:right="39" w:hanging="10"/>
        <w:jc w:val="both"/>
        <w:rPr>
          <w:i/>
          <w:sz w:val="24"/>
        </w:rPr>
      </w:pPr>
      <w:r>
        <w:rPr>
          <w:i/>
          <w:color w:val="231F20"/>
          <w:sz w:val="24"/>
        </w:rPr>
        <w:t>A board of county commissioners decides to</w:t>
      </w:r>
      <w:r>
        <w:rPr>
          <w:i/>
          <w:color w:val="231F20"/>
          <w:sz w:val="24"/>
        </w:rPr>
        <w:t> purchase</w:t>
      </w:r>
      <w:r>
        <w:rPr>
          <w:i/>
          <w:color w:val="231F20"/>
          <w:spacing w:val="-3"/>
          <w:sz w:val="24"/>
        </w:rPr>
        <w:t> </w:t>
      </w:r>
      <w:r>
        <w:rPr>
          <w:i/>
          <w:color w:val="231F20"/>
          <w:sz w:val="24"/>
        </w:rPr>
        <w:t>a</w:t>
      </w:r>
      <w:r>
        <w:rPr>
          <w:i/>
          <w:color w:val="231F20"/>
          <w:spacing w:val="-2"/>
          <w:sz w:val="24"/>
        </w:rPr>
        <w:t> </w:t>
      </w:r>
      <w:r>
        <w:rPr>
          <w:i/>
          <w:color w:val="231F20"/>
          <w:sz w:val="24"/>
        </w:rPr>
        <w:t>piece</w:t>
      </w:r>
      <w:r>
        <w:rPr>
          <w:i/>
          <w:color w:val="231F20"/>
          <w:spacing w:val="-3"/>
          <w:sz w:val="24"/>
        </w:rPr>
        <w:t> </w:t>
      </w:r>
      <w:r>
        <w:rPr>
          <w:i/>
          <w:color w:val="231F20"/>
          <w:sz w:val="24"/>
        </w:rPr>
        <w:t>of</w:t>
      </w:r>
      <w:r>
        <w:rPr>
          <w:i/>
          <w:color w:val="231F20"/>
          <w:spacing w:val="-2"/>
          <w:sz w:val="24"/>
        </w:rPr>
        <w:t> </w:t>
      </w:r>
      <w:r>
        <w:rPr>
          <w:i/>
          <w:color w:val="231F20"/>
          <w:sz w:val="24"/>
        </w:rPr>
        <w:t>land</w:t>
      </w:r>
      <w:r>
        <w:rPr>
          <w:i/>
          <w:color w:val="231F20"/>
          <w:spacing w:val="-2"/>
          <w:sz w:val="24"/>
        </w:rPr>
        <w:t> </w:t>
      </w:r>
      <w:r>
        <w:rPr>
          <w:i/>
          <w:color w:val="231F20"/>
          <w:sz w:val="24"/>
        </w:rPr>
        <w:t>from</w:t>
      </w:r>
      <w:r>
        <w:rPr>
          <w:i/>
          <w:color w:val="231F20"/>
          <w:spacing w:val="-3"/>
          <w:sz w:val="24"/>
        </w:rPr>
        <w:t> </w:t>
      </w:r>
      <w:r>
        <w:rPr>
          <w:i/>
          <w:color w:val="231F20"/>
          <w:sz w:val="24"/>
        </w:rPr>
        <w:t>Mr.</w:t>
      </w:r>
      <w:r>
        <w:rPr>
          <w:i/>
          <w:color w:val="231F20"/>
          <w:spacing w:val="-2"/>
          <w:sz w:val="24"/>
        </w:rPr>
        <w:t> </w:t>
      </w:r>
      <w:r>
        <w:rPr>
          <w:i/>
          <w:color w:val="231F20"/>
          <w:sz w:val="24"/>
        </w:rPr>
        <w:t>Ortiz</w:t>
      </w:r>
      <w:r>
        <w:rPr>
          <w:i/>
          <w:color w:val="231F20"/>
          <w:spacing w:val="-2"/>
          <w:sz w:val="24"/>
        </w:rPr>
        <w:t> </w:t>
      </w:r>
      <w:r>
        <w:rPr>
          <w:i/>
          <w:color w:val="231F20"/>
          <w:sz w:val="24"/>
        </w:rPr>
        <w:t>and</w:t>
      </w:r>
      <w:r>
        <w:rPr>
          <w:i/>
          <w:color w:val="231F20"/>
          <w:spacing w:val="-2"/>
          <w:sz w:val="24"/>
        </w:rPr>
        <w:t> </w:t>
      </w:r>
      <w:r>
        <w:rPr>
          <w:i/>
          <w:color w:val="231F20"/>
          <w:sz w:val="24"/>
        </w:rPr>
        <w:t>enters into an agreement to that effect. Mr. Ortiz later discovers he can sell the land to Mr. Jones for a</w:t>
      </w:r>
    </w:p>
    <w:p>
      <w:pPr>
        <w:spacing w:before="90"/>
        <w:ind w:left="475" w:right="350" w:hanging="10"/>
        <w:jc w:val="both"/>
        <w:rPr>
          <w:i/>
          <w:sz w:val="24"/>
        </w:rPr>
      </w:pPr>
      <w:r>
        <w:rPr/>
        <w:br w:type="column"/>
      </w:r>
      <w:r>
        <w:rPr>
          <w:i/>
          <w:color w:val="231F20"/>
          <w:sz w:val="24"/>
        </w:rPr>
        <w:t>better price and attempts to invalidate the</w:t>
      </w:r>
      <w:r>
        <w:rPr>
          <w:i/>
          <w:color w:val="231F20"/>
          <w:sz w:val="24"/>
        </w:rPr>
        <w:t> agreement by alleging that the board improperly closed the meeting for the discussion of the purchase. Under the presumption created </w:t>
      </w:r>
      <w:r>
        <w:rPr>
          <w:i/>
          <w:color w:val="231F20"/>
          <w:sz w:val="24"/>
        </w:rPr>
        <w:t>by Section 10-15-3(A) of the Act, the agreement is valid and binding on Mr. Ortiz until it is admitted or proven that the board failed to act in accordance with Section 10-15-1 of the Act.</w:t>
      </w:r>
    </w:p>
    <w:p>
      <w:pPr>
        <w:pStyle w:val="BodyText"/>
        <w:rPr>
          <w:i/>
        </w:rPr>
      </w:pPr>
    </w:p>
    <w:p>
      <w:pPr>
        <w:pStyle w:val="BodyText"/>
        <w:ind w:left="465"/>
      </w:pPr>
      <w:bookmarkStart w:name="Commentary" w:id="232"/>
      <w:bookmarkEnd w:id="232"/>
      <w:r>
        <w:rPr/>
      </w:r>
      <w:r>
        <w:rPr>
          <w:color w:val="231F20"/>
          <w:spacing w:val="-2"/>
          <w:u w:val="single" w:color="231F20"/>
        </w:rPr>
        <w:t>Commentary</w:t>
      </w:r>
    </w:p>
    <w:p>
      <w:pPr>
        <w:pStyle w:val="BodyText"/>
      </w:pPr>
    </w:p>
    <w:p>
      <w:pPr>
        <w:pStyle w:val="BodyText"/>
        <w:ind w:left="475" w:right="348" w:hanging="10"/>
        <w:jc w:val="both"/>
      </w:pPr>
      <w:r>
        <w:rPr>
          <w:color w:val="231F20"/>
        </w:rPr>
        <w:t>The presumption of validity</w:t>
      </w:r>
      <w:r>
        <w:rPr>
          <w:color w:val="231F20"/>
          <w:spacing w:val="-1"/>
        </w:rPr>
        <w:t> </w:t>
      </w:r>
      <w:r>
        <w:rPr>
          <w:color w:val="231F20"/>
        </w:rPr>
        <w:t>established by</w:t>
      </w:r>
      <w:r>
        <w:rPr>
          <w:color w:val="231F20"/>
          <w:spacing w:val="-1"/>
        </w:rPr>
        <w:t> </w:t>
      </w:r>
      <w:r>
        <w:rPr>
          <w:color w:val="231F20"/>
        </w:rPr>
        <w:t>Section 10-15-3(A) of the Act means that any action taken by</w:t>
      </w:r>
      <w:r>
        <w:rPr>
          <w:color w:val="231F20"/>
          <w:spacing w:val="-2"/>
        </w:rPr>
        <w:t> </w:t>
      </w:r>
      <w:r>
        <w:rPr>
          <w:color w:val="231F20"/>
        </w:rPr>
        <w:t>a public body</w:t>
      </w:r>
      <w:r>
        <w:rPr>
          <w:color w:val="231F20"/>
          <w:spacing w:val="-2"/>
        </w:rPr>
        <w:t> </w:t>
      </w:r>
      <w:r>
        <w:rPr>
          <w:color w:val="231F20"/>
        </w:rPr>
        <w:t>will stand as valid with respect to the Act unless challenged and proven otherwise. The Act does not, however, specify a time beyond which an action may no longer be challenged.</w:t>
      </w:r>
      <w:r>
        <w:rPr>
          <w:color w:val="231F20"/>
          <w:spacing w:val="40"/>
        </w:rPr>
        <w:t> </w:t>
      </w:r>
      <w:r>
        <w:rPr>
          <w:color w:val="231F20"/>
        </w:rPr>
        <w:t>Such a limitation on actions brought to challenge the validity of any rule, regulation, resolution, ordinance</w:t>
      </w:r>
      <w:r>
        <w:rPr>
          <w:color w:val="231F20"/>
          <w:spacing w:val="40"/>
        </w:rPr>
        <w:t> </w:t>
      </w:r>
      <w:r>
        <w:rPr>
          <w:color w:val="231F20"/>
        </w:rPr>
        <w:t>or</w:t>
      </w:r>
      <w:r>
        <w:rPr>
          <w:color w:val="231F20"/>
          <w:spacing w:val="40"/>
        </w:rPr>
        <w:t> </w:t>
      </w:r>
      <w:r>
        <w:rPr>
          <w:color w:val="231F20"/>
        </w:rPr>
        <w:t>other</w:t>
      </w:r>
      <w:r>
        <w:rPr>
          <w:color w:val="231F20"/>
          <w:spacing w:val="40"/>
        </w:rPr>
        <w:t> </w:t>
      </w:r>
      <w:r>
        <w:rPr>
          <w:color w:val="231F20"/>
        </w:rPr>
        <w:t>action</w:t>
      </w:r>
      <w:r>
        <w:rPr>
          <w:color w:val="231F20"/>
          <w:spacing w:val="40"/>
        </w:rPr>
        <w:t> </w:t>
      </w:r>
      <w:r>
        <w:rPr>
          <w:color w:val="231F20"/>
        </w:rPr>
        <w:t>taken</w:t>
      </w:r>
      <w:r>
        <w:rPr>
          <w:color w:val="231F20"/>
          <w:spacing w:val="40"/>
        </w:rPr>
        <w:t> </w:t>
      </w:r>
      <w:r>
        <w:rPr>
          <w:color w:val="231F20"/>
        </w:rPr>
        <w:t>by</w:t>
      </w:r>
      <w:r>
        <w:rPr>
          <w:color w:val="231F20"/>
          <w:spacing w:val="40"/>
        </w:rPr>
        <w:t> </w:t>
      </w:r>
      <w:r>
        <w:rPr>
          <w:color w:val="231F20"/>
        </w:rPr>
        <w:t>a</w:t>
      </w:r>
      <w:r>
        <w:rPr>
          <w:color w:val="231F20"/>
          <w:spacing w:val="40"/>
        </w:rPr>
        <w:t> </w:t>
      </w:r>
      <w:r>
        <w:rPr>
          <w:color w:val="231F20"/>
        </w:rPr>
        <w:t>public</w:t>
      </w:r>
      <w:r>
        <w:rPr>
          <w:color w:val="231F20"/>
          <w:spacing w:val="80"/>
        </w:rPr>
        <w:t> </w:t>
      </w:r>
      <w:r>
        <w:rPr>
          <w:color w:val="231F20"/>
        </w:rPr>
        <w:t>body will be found in the statutes of limitation enacted by the legislature. Thus, for example, criminal actions brought under Section 10-15-4 of the Act (</w:t>
      </w:r>
      <w:r>
        <w:rPr>
          <w:i/>
          <w:color w:val="231F20"/>
        </w:rPr>
        <w:t>see </w:t>
      </w:r>
      <w:r>
        <w:rPr>
          <w:color w:val="231F20"/>
        </w:rPr>
        <w:t>Section VI) probably would be barred after two years from the time the violation occurred. </w:t>
      </w:r>
      <w:r>
        <w:rPr>
          <w:i/>
          <w:color w:val="231F20"/>
        </w:rPr>
        <w:t>See </w:t>
      </w:r>
      <w:r>
        <w:rPr>
          <w:color w:val="231F20"/>
        </w:rPr>
        <w:t>NMSA 1978, Section 30-1-8. Most other non-criminal actions authorized by the Act, unless covered by a more specific statutory limitations period applicable to the public body, would be barred after four (4) years. </w:t>
      </w:r>
      <w:r>
        <w:rPr>
          <w:i/>
          <w:color w:val="231F20"/>
        </w:rPr>
        <w:t>See </w:t>
      </w:r>
      <w:r>
        <w:rPr>
          <w:color w:val="231F20"/>
        </w:rPr>
        <w:t>NMSA 1978, Section 37-1-4.</w:t>
      </w:r>
    </w:p>
    <w:p>
      <w:pPr>
        <w:pStyle w:val="BodyText"/>
        <w:spacing w:before="4"/>
      </w:pPr>
    </w:p>
    <w:p>
      <w:pPr>
        <w:pStyle w:val="Heading2"/>
        <w:numPr>
          <w:ilvl w:val="0"/>
          <w:numId w:val="15"/>
        </w:numPr>
        <w:tabs>
          <w:tab w:pos="848" w:val="left" w:leader="none"/>
        </w:tabs>
        <w:spacing w:line="240" w:lineRule="auto" w:before="0" w:after="0"/>
        <w:ind w:left="847" w:right="0" w:hanging="328"/>
        <w:jc w:val="left"/>
      </w:pPr>
      <w:bookmarkStart w:name="_TOC_250003" w:id="233"/>
      <w:bookmarkStart w:name="B. Enforcement" w:id="234"/>
      <w:r>
        <w:rPr>
          <w:color w:val="231F20"/>
          <w:spacing w:val="-2"/>
        </w:rPr>
        <w:t>E</w:t>
      </w:r>
      <w:bookmarkEnd w:id="233"/>
      <w:r>
        <w:rPr>
          <w:color w:val="231F20"/>
          <w:spacing w:val="-2"/>
        </w:rPr>
        <w:t>nforcement</w:t>
      </w:r>
    </w:p>
    <w:p>
      <w:pPr>
        <w:pStyle w:val="BodyText"/>
        <w:rPr>
          <w:b/>
          <w:sz w:val="28"/>
        </w:rPr>
      </w:pPr>
    </w:p>
    <w:p>
      <w:pPr>
        <w:spacing w:before="0"/>
        <w:ind w:left="465" w:right="0" w:firstLine="0"/>
        <w:jc w:val="left"/>
        <w:rPr>
          <w:b/>
          <w:sz w:val="24"/>
        </w:rPr>
      </w:pPr>
      <w:bookmarkStart w:name="The Law" w:id="235"/>
      <w:bookmarkEnd w:id="235"/>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rPr>
          <w:b/>
          <w:sz w:val="28"/>
        </w:rPr>
      </w:pPr>
    </w:p>
    <w:p>
      <w:pPr>
        <w:spacing w:before="0"/>
        <w:ind w:left="475" w:right="350" w:hanging="10"/>
        <w:jc w:val="both"/>
        <w:rPr>
          <w:b/>
          <w:sz w:val="24"/>
        </w:rPr>
      </w:pPr>
      <w:r>
        <w:rPr>
          <w:b/>
          <w:color w:val="231F20"/>
          <w:sz w:val="24"/>
        </w:rPr>
        <w:t>All</w:t>
      </w:r>
      <w:r>
        <w:rPr>
          <w:b/>
          <w:color w:val="231F20"/>
          <w:spacing w:val="-4"/>
          <w:sz w:val="24"/>
        </w:rPr>
        <w:t> </w:t>
      </w:r>
      <w:r>
        <w:rPr>
          <w:b/>
          <w:color w:val="231F20"/>
          <w:sz w:val="24"/>
        </w:rPr>
        <w:t>provisions</w:t>
      </w:r>
      <w:r>
        <w:rPr>
          <w:b/>
          <w:color w:val="231F20"/>
          <w:spacing w:val="-4"/>
          <w:sz w:val="24"/>
        </w:rPr>
        <w:t> </w:t>
      </w:r>
      <w:r>
        <w:rPr>
          <w:b/>
          <w:color w:val="231F20"/>
          <w:sz w:val="24"/>
        </w:rPr>
        <w:t>of</w:t>
      </w:r>
      <w:r>
        <w:rPr>
          <w:b/>
          <w:color w:val="231F20"/>
          <w:spacing w:val="-3"/>
          <w:sz w:val="24"/>
        </w:rPr>
        <w:t> </w:t>
      </w:r>
      <w:r>
        <w:rPr>
          <w:b/>
          <w:color w:val="231F20"/>
          <w:sz w:val="24"/>
        </w:rPr>
        <w:t>the</w:t>
      </w:r>
      <w:r>
        <w:rPr>
          <w:b/>
          <w:color w:val="231F20"/>
          <w:spacing w:val="-5"/>
          <w:sz w:val="24"/>
        </w:rPr>
        <w:t> </w:t>
      </w:r>
      <w:r>
        <w:rPr>
          <w:b/>
          <w:color w:val="231F20"/>
          <w:sz w:val="24"/>
        </w:rPr>
        <w:t>Open</w:t>
      </w:r>
      <w:r>
        <w:rPr>
          <w:b/>
          <w:color w:val="231F20"/>
          <w:spacing w:val="-4"/>
          <w:sz w:val="24"/>
        </w:rPr>
        <w:t> </w:t>
      </w:r>
      <w:r>
        <w:rPr>
          <w:b/>
          <w:color w:val="231F20"/>
          <w:sz w:val="24"/>
        </w:rPr>
        <w:t>Meetings</w:t>
      </w:r>
      <w:r>
        <w:rPr>
          <w:b/>
          <w:color w:val="231F20"/>
          <w:spacing w:val="-4"/>
          <w:sz w:val="24"/>
        </w:rPr>
        <w:t> </w:t>
      </w:r>
      <w:r>
        <w:rPr>
          <w:b/>
          <w:color w:val="231F20"/>
          <w:sz w:val="24"/>
        </w:rPr>
        <w:t>Act</w:t>
      </w:r>
      <w:r>
        <w:rPr>
          <w:b/>
          <w:color w:val="231F20"/>
          <w:spacing w:val="-3"/>
          <w:sz w:val="24"/>
        </w:rPr>
        <w:t> </w:t>
      </w:r>
      <w:r>
        <w:rPr>
          <w:b/>
          <w:color w:val="231F20"/>
          <w:sz w:val="24"/>
        </w:rPr>
        <w:t>shall</w:t>
      </w:r>
      <w:r>
        <w:rPr>
          <w:b/>
          <w:color w:val="231F20"/>
          <w:spacing w:val="-4"/>
          <w:sz w:val="24"/>
        </w:rPr>
        <w:t> </w:t>
      </w:r>
      <w:r>
        <w:rPr>
          <w:b/>
          <w:color w:val="231F20"/>
          <w:sz w:val="24"/>
        </w:rPr>
        <w:t>be enforced</w:t>
      </w:r>
      <w:r>
        <w:rPr>
          <w:b/>
          <w:color w:val="231F20"/>
          <w:sz w:val="24"/>
        </w:rPr>
        <w:t> by the attorney general or by the district</w:t>
      </w:r>
      <w:r>
        <w:rPr>
          <w:b/>
          <w:color w:val="231F20"/>
          <w:sz w:val="24"/>
        </w:rPr>
        <w:t> attorney in the county of jurisdiction. However, nothing in that</w:t>
      </w:r>
      <w:r>
        <w:rPr>
          <w:b/>
          <w:color w:val="231F20"/>
          <w:sz w:val="24"/>
        </w:rPr>
        <w:t> act</w:t>
      </w:r>
      <w:r>
        <w:rPr>
          <w:b/>
          <w:color w:val="231F20"/>
          <w:sz w:val="24"/>
        </w:rPr>
        <w:t> shall prevent</w:t>
      </w:r>
      <w:r>
        <w:rPr>
          <w:b/>
          <w:color w:val="231F20"/>
          <w:sz w:val="24"/>
        </w:rPr>
        <w:t> an individual from independently applying for enforcement</w:t>
      </w:r>
      <w:r>
        <w:rPr>
          <w:b/>
          <w:color w:val="231F20"/>
          <w:sz w:val="24"/>
        </w:rPr>
        <w:t> through the district</w:t>
      </w:r>
      <w:r>
        <w:rPr>
          <w:b/>
          <w:color w:val="231F20"/>
          <w:sz w:val="24"/>
        </w:rPr>
        <w:t> courts, provided</w:t>
      </w:r>
      <w:r>
        <w:rPr>
          <w:b/>
          <w:color w:val="231F20"/>
          <w:spacing w:val="30"/>
          <w:sz w:val="24"/>
        </w:rPr>
        <w:t>  </w:t>
      </w:r>
      <w:r>
        <w:rPr>
          <w:b/>
          <w:color w:val="231F20"/>
          <w:sz w:val="24"/>
        </w:rPr>
        <w:t>that</w:t>
      </w:r>
      <w:r>
        <w:rPr>
          <w:b/>
          <w:color w:val="231F20"/>
          <w:spacing w:val="28"/>
          <w:sz w:val="24"/>
        </w:rPr>
        <w:t>  </w:t>
      </w:r>
      <w:r>
        <w:rPr>
          <w:b/>
          <w:color w:val="231F20"/>
          <w:sz w:val="24"/>
        </w:rPr>
        <w:t>the</w:t>
      </w:r>
      <w:r>
        <w:rPr>
          <w:b/>
          <w:color w:val="231F20"/>
          <w:spacing w:val="29"/>
          <w:sz w:val="24"/>
        </w:rPr>
        <w:t>  </w:t>
      </w:r>
      <w:r>
        <w:rPr>
          <w:b/>
          <w:color w:val="231F20"/>
          <w:sz w:val="24"/>
        </w:rPr>
        <w:t>individual</w:t>
      </w:r>
      <w:r>
        <w:rPr>
          <w:b/>
          <w:color w:val="231F20"/>
          <w:spacing w:val="30"/>
          <w:sz w:val="24"/>
        </w:rPr>
        <w:t>  </w:t>
      </w:r>
      <w:r>
        <w:rPr>
          <w:b/>
          <w:color w:val="231F20"/>
          <w:sz w:val="24"/>
        </w:rPr>
        <w:t>first</w:t>
      </w:r>
      <w:r>
        <w:rPr>
          <w:b/>
          <w:color w:val="231F20"/>
          <w:spacing w:val="28"/>
          <w:sz w:val="24"/>
        </w:rPr>
        <w:t>  </w:t>
      </w:r>
      <w:r>
        <w:rPr>
          <w:b/>
          <w:color w:val="231F20"/>
          <w:spacing w:val="-2"/>
          <w:sz w:val="24"/>
        </w:rPr>
        <w:t>provides</w:t>
      </w:r>
    </w:p>
    <w:p>
      <w:pPr>
        <w:spacing w:after="0"/>
        <w:jc w:val="both"/>
        <w:rPr>
          <w:sz w:val="24"/>
        </w:rPr>
        <w:sectPr>
          <w:type w:val="continuous"/>
          <w:pgSz w:w="12240" w:h="15840"/>
          <w:pgMar w:header="660" w:footer="484" w:top="480" w:bottom="280" w:left="360" w:right="240"/>
          <w:cols w:num="2" w:equalWidth="0">
            <w:col w:w="5446" w:space="436"/>
            <w:col w:w="5758"/>
          </w:cols>
        </w:sectPr>
      </w:pPr>
    </w:p>
    <w:p>
      <w:pPr>
        <w:pStyle w:val="BodyText"/>
        <w:spacing w:before="8"/>
        <w:rPr>
          <w:b/>
          <w:sz w:val="15"/>
        </w:rPr>
      </w:pPr>
    </w:p>
    <w:p>
      <w:pPr>
        <w:spacing w:after="0"/>
        <w:rPr>
          <w:sz w:val="15"/>
        </w:rPr>
        <w:sectPr>
          <w:pgSz w:w="12240" w:h="15840"/>
          <w:pgMar w:header="660" w:footer="484" w:top="960" w:bottom="720" w:left="360" w:right="240"/>
        </w:sectPr>
      </w:pPr>
    </w:p>
    <w:p>
      <w:pPr>
        <w:spacing w:before="94"/>
        <w:ind w:left="475" w:right="39" w:firstLine="0"/>
        <w:jc w:val="both"/>
        <w:rPr>
          <w:b/>
          <w:sz w:val="24"/>
        </w:rPr>
      </w:pPr>
      <w:r>
        <w:rPr>
          <w:b/>
          <w:color w:val="231F20"/>
          <w:sz w:val="24"/>
        </w:rPr>
        <w:t>written notice of the claimed violation to the public</w:t>
      </w:r>
      <w:r>
        <w:rPr>
          <w:b/>
          <w:color w:val="231F20"/>
          <w:spacing w:val="-4"/>
          <w:sz w:val="24"/>
        </w:rPr>
        <w:t> </w:t>
      </w:r>
      <w:r>
        <w:rPr>
          <w:b/>
          <w:color w:val="231F20"/>
          <w:sz w:val="24"/>
        </w:rPr>
        <w:t>body</w:t>
      </w:r>
      <w:r>
        <w:rPr>
          <w:b/>
          <w:color w:val="231F20"/>
          <w:spacing w:val="-3"/>
          <w:sz w:val="24"/>
        </w:rPr>
        <w:t> </w:t>
      </w:r>
      <w:r>
        <w:rPr>
          <w:b/>
          <w:color w:val="231F20"/>
          <w:sz w:val="24"/>
        </w:rPr>
        <w:t>and</w:t>
      </w:r>
      <w:r>
        <w:rPr>
          <w:b/>
          <w:color w:val="231F20"/>
          <w:spacing w:val="-3"/>
          <w:sz w:val="24"/>
        </w:rPr>
        <w:t> </w:t>
      </w:r>
      <w:r>
        <w:rPr>
          <w:b/>
          <w:color w:val="231F20"/>
          <w:sz w:val="24"/>
        </w:rPr>
        <w:t>that</w:t>
      </w:r>
      <w:r>
        <w:rPr>
          <w:b/>
          <w:color w:val="231F20"/>
          <w:spacing w:val="-5"/>
          <w:sz w:val="24"/>
        </w:rPr>
        <w:t> </w:t>
      </w:r>
      <w:r>
        <w:rPr>
          <w:b/>
          <w:color w:val="231F20"/>
          <w:sz w:val="24"/>
        </w:rPr>
        <w:t>the</w:t>
      </w:r>
      <w:r>
        <w:rPr>
          <w:b/>
          <w:color w:val="231F20"/>
          <w:spacing w:val="-4"/>
          <w:sz w:val="24"/>
        </w:rPr>
        <w:t> </w:t>
      </w:r>
      <w:r>
        <w:rPr>
          <w:b/>
          <w:color w:val="231F20"/>
          <w:sz w:val="24"/>
        </w:rPr>
        <w:t>public</w:t>
      </w:r>
      <w:r>
        <w:rPr>
          <w:b/>
          <w:color w:val="231F20"/>
          <w:spacing w:val="-4"/>
          <w:sz w:val="24"/>
        </w:rPr>
        <w:t> </w:t>
      </w:r>
      <w:r>
        <w:rPr>
          <w:b/>
          <w:color w:val="231F20"/>
          <w:sz w:val="24"/>
        </w:rPr>
        <w:t>body</w:t>
      </w:r>
      <w:r>
        <w:rPr>
          <w:b/>
          <w:color w:val="231F20"/>
          <w:spacing w:val="-3"/>
          <w:sz w:val="24"/>
        </w:rPr>
        <w:t> </w:t>
      </w:r>
      <w:r>
        <w:rPr>
          <w:b/>
          <w:color w:val="231F20"/>
          <w:sz w:val="24"/>
        </w:rPr>
        <w:t>has</w:t>
      </w:r>
      <w:r>
        <w:rPr>
          <w:b/>
          <w:color w:val="231F20"/>
          <w:spacing w:val="-3"/>
          <w:sz w:val="24"/>
        </w:rPr>
        <w:t> </w:t>
      </w:r>
      <w:r>
        <w:rPr>
          <w:b/>
          <w:color w:val="231F20"/>
          <w:sz w:val="24"/>
        </w:rPr>
        <w:t>denied or not acted on the claim within fifteen days of receiving it. A public meeting held to address a claimed violation of the Open Meetings Act</w:t>
      </w:r>
      <w:r>
        <w:rPr>
          <w:b/>
          <w:color w:val="231F20"/>
          <w:spacing w:val="40"/>
          <w:sz w:val="24"/>
        </w:rPr>
        <w:t> </w:t>
      </w:r>
      <w:r>
        <w:rPr>
          <w:b/>
          <w:color w:val="231F20"/>
          <w:sz w:val="24"/>
        </w:rPr>
        <w:t>shall include a summary of comments made at the meeting at which the claimed violation </w:t>
      </w:r>
      <w:r>
        <w:rPr>
          <w:b/>
          <w:color w:val="231F20"/>
          <w:spacing w:val="-2"/>
          <w:sz w:val="24"/>
        </w:rPr>
        <w:t>occurred.</w:t>
      </w:r>
    </w:p>
    <w:p>
      <w:pPr>
        <w:pStyle w:val="BodyText"/>
        <w:spacing w:before="7"/>
        <w:rPr>
          <w:b/>
          <w:sz w:val="27"/>
        </w:rPr>
      </w:pPr>
    </w:p>
    <w:p>
      <w:pPr>
        <w:pStyle w:val="BodyText"/>
        <w:ind w:left="465"/>
      </w:pPr>
      <w:bookmarkStart w:name="Commentary" w:id="236"/>
      <w:bookmarkEnd w:id="236"/>
      <w:r>
        <w:rPr/>
      </w:r>
      <w:r>
        <w:rPr>
          <w:color w:val="231F20"/>
          <w:spacing w:val="-2"/>
          <w:u w:val="single" w:color="231F20"/>
        </w:rPr>
        <w:t>Commentary</w:t>
      </w:r>
    </w:p>
    <w:p>
      <w:pPr>
        <w:pStyle w:val="BodyText"/>
        <w:spacing w:before="11"/>
        <w:rPr>
          <w:sz w:val="27"/>
        </w:rPr>
      </w:pPr>
    </w:p>
    <w:p>
      <w:pPr>
        <w:pStyle w:val="BodyText"/>
        <w:ind w:left="475" w:right="38" w:hanging="10"/>
        <w:jc w:val="both"/>
      </w:pPr>
      <w:r>
        <w:rPr>
          <w:color w:val="231F20"/>
        </w:rPr>
        <w:t>This Subsection charges the Attorney General and district</w:t>
      </w:r>
      <w:r>
        <w:rPr>
          <w:color w:val="231F20"/>
        </w:rPr>
        <w:t> attorneys with the concurrent duty of enforcing the Act. Since enforcement carries with</w:t>
      </w:r>
      <w:r>
        <w:rPr>
          <w:color w:val="231F20"/>
          <w:spacing w:val="40"/>
        </w:rPr>
        <w:t> </w:t>
      </w:r>
      <w:r>
        <w:rPr>
          <w:color w:val="231F20"/>
        </w:rPr>
        <w:t>it the duty to interpret the Act, the Attorney General has issued this Compliance Guide so that public bodies that adhere to the interpretations of the Act presented in this Guide may conduct their affairs in substantial compliance with the Act. Of course, such a guide</w:t>
      </w:r>
      <w:r>
        <w:rPr>
          <w:color w:val="231F20"/>
          <w:spacing w:val="-1"/>
        </w:rPr>
        <w:t> </w:t>
      </w:r>
      <w:r>
        <w:rPr>
          <w:color w:val="231F20"/>
        </w:rPr>
        <w:t>cannot anticipate</w:t>
      </w:r>
      <w:r>
        <w:rPr>
          <w:color w:val="231F20"/>
          <w:spacing w:val="-1"/>
        </w:rPr>
        <w:t> </w:t>
      </w:r>
      <w:r>
        <w:rPr>
          <w:color w:val="231F20"/>
        </w:rPr>
        <w:t>all problems or questions that will arise in the course of governmental affairs. Questions raised by a public body about compliance should therefore be</w:t>
      </w:r>
      <w:r>
        <w:rPr>
          <w:color w:val="231F20"/>
          <w:spacing w:val="40"/>
        </w:rPr>
        <w:t> </w:t>
      </w:r>
      <w:r>
        <w:rPr>
          <w:color w:val="231F20"/>
        </w:rPr>
        <w:t>initially addressed to the attorney for the public body. If</w:t>
      </w:r>
      <w:r>
        <w:rPr>
          <w:color w:val="231F20"/>
          <w:spacing w:val="-3"/>
        </w:rPr>
        <w:t> </w:t>
      </w:r>
      <w:r>
        <w:rPr>
          <w:color w:val="231F20"/>
        </w:rPr>
        <w:t>the</w:t>
      </w:r>
      <w:r>
        <w:rPr>
          <w:color w:val="231F20"/>
          <w:spacing w:val="-3"/>
        </w:rPr>
        <w:t> </w:t>
      </w:r>
      <w:r>
        <w:rPr>
          <w:color w:val="231F20"/>
        </w:rPr>
        <w:t>public</w:t>
      </w:r>
      <w:r>
        <w:rPr>
          <w:color w:val="231F20"/>
          <w:spacing w:val="-3"/>
        </w:rPr>
        <w:t> </w:t>
      </w:r>
      <w:r>
        <w:rPr>
          <w:color w:val="231F20"/>
        </w:rPr>
        <w:t>body’s</w:t>
      </w:r>
      <w:r>
        <w:rPr>
          <w:color w:val="231F20"/>
          <w:spacing w:val="-2"/>
        </w:rPr>
        <w:t> </w:t>
      </w:r>
      <w:r>
        <w:rPr>
          <w:color w:val="231F20"/>
        </w:rPr>
        <w:t>attorney</w:t>
      </w:r>
      <w:r>
        <w:rPr>
          <w:color w:val="231F20"/>
          <w:spacing w:val="-7"/>
        </w:rPr>
        <w:t> </w:t>
      </w:r>
      <w:r>
        <w:rPr>
          <w:color w:val="231F20"/>
        </w:rPr>
        <w:t>is</w:t>
      </w:r>
      <w:r>
        <w:rPr>
          <w:color w:val="231F20"/>
          <w:spacing w:val="-2"/>
        </w:rPr>
        <w:t> </w:t>
      </w:r>
      <w:r>
        <w:rPr>
          <w:color w:val="231F20"/>
        </w:rPr>
        <w:t>unclear</w:t>
      </w:r>
      <w:r>
        <w:rPr>
          <w:color w:val="231F20"/>
          <w:spacing w:val="-3"/>
        </w:rPr>
        <w:t> </w:t>
      </w:r>
      <w:r>
        <w:rPr>
          <w:color w:val="231F20"/>
        </w:rPr>
        <w:t>about how to proceed, questions may then be addressed to the Office</w:t>
      </w:r>
      <w:r>
        <w:rPr>
          <w:color w:val="231F20"/>
        </w:rPr>
        <w:t> of</w:t>
      </w:r>
      <w:r>
        <w:rPr>
          <w:color w:val="231F20"/>
        </w:rPr>
        <w:t> the</w:t>
      </w:r>
      <w:r>
        <w:rPr>
          <w:color w:val="231F20"/>
        </w:rPr>
        <w:t> Attorney General. It is, however, the Attorney General’s intent that this Guide help resolve recurring questions concerning the applicability of the Act.</w:t>
      </w:r>
    </w:p>
    <w:p>
      <w:pPr>
        <w:pStyle w:val="BodyText"/>
      </w:pPr>
    </w:p>
    <w:p>
      <w:pPr>
        <w:pStyle w:val="BodyText"/>
        <w:ind w:left="475" w:right="39" w:hanging="10"/>
        <w:jc w:val="both"/>
      </w:pPr>
      <w:r>
        <w:rPr>
          <w:color w:val="231F20"/>
        </w:rPr>
        <w:t>A person who believes the Act has been violated may</w:t>
      </w:r>
      <w:r>
        <w:rPr>
          <w:color w:val="231F20"/>
          <w:spacing w:val="-3"/>
        </w:rPr>
        <w:t> </w:t>
      </w:r>
      <w:r>
        <w:rPr>
          <w:color w:val="231F20"/>
        </w:rPr>
        <w:t>report</w:t>
      </w:r>
      <w:r>
        <w:rPr>
          <w:color w:val="231F20"/>
          <w:spacing w:val="-1"/>
        </w:rPr>
        <w:t> </w:t>
      </w:r>
      <w:r>
        <w:rPr>
          <w:color w:val="231F20"/>
        </w:rPr>
        <w:t>the</w:t>
      </w:r>
      <w:r>
        <w:rPr>
          <w:color w:val="231F20"/>
          <w:spacing w:val="-2"/>
        </w:rPr>
        <w:t> </w:t>
      </w:r>
      <w:r>
        <w:rPr>
          <w:color w:val="231F20"/>
        </w:rPr>
        <w:t>suspected violation</w:t>
      </w:r>
      <w:r>
        <w:rPr>
          <w:color w:val="231F20"/>
          <w:spacing w:val="-1"/>
        </w:rPr>
        <w:t> </w:t>
      </w:r>
      <w:r>
        <w:rPr>
          <w:color w:val="231F20"/>
        </w:rPr>
        <w:t>in</w:t>
      </w:r>
      <w:r>
        <w:rPr>
          <w:color w:val="231F20"/>
          <w:spacing w:val="-1"/>
        </w:rPr>
        <w:t> </w:t>
      </w:r>
      <w:r>
        <w:rPr>
          <w:color w:val="231F20"/>
        </w:rPr>
        <w:t>writing</w:t>
      </w:r>
      <w:r>
        <w:rPr>
          <w:color w:val="231F20"/>
          <w:spacing w:val="-4"/>
        </w:rPr>
        <w:t> </w:t>
      </w:r>
      <w:r>
        <w:rPr>
          <w:color w:val="231F20"/>
        </w:rPr>
        <w:t>to</w:t>
      </w:r>
      <w:r>
        <w:rPr>
          <w:color w:val="231F20"/>
          <w:spacing w:val="-2"/>
        </w:rPr>
        <w:t> </w:t>
      </w:r>
      <w:r>
        <w:rPr>
          <w:color w:val="231F20"/>
        </w:rPr>
        <w:t>the appropriate</w:t>
      </w:r>
      <w:r>
        <w:rPr>
          <w:color w:val="231F20"/>
        </w:rPr>
        <w:t> district</w:t>
      </w:r>
      <w:r>
        <w:rPr>
          <w:color w:val="231F20"/>
        </w:rPr>
        <w:t> attorney</w:t>
      </w:r>
      <w:r>
        <w:rPr>
          <w:color w:val="231F20"/>
        </w:rPr>
        <w:t> or</w:t>
      </w:r>
      <w:r>
        <w:rPr>
          <w:color w:val="231F20"/>
        </w:rPr>
        <w:t> to</w:t>
      </w:r>
      <w:r>
        <w:rPr>
          <w:color w:val="231F20"/>
        </w:rPr>
        <w:t> this Office</w:t>
      </w:r>
      <w:r>
        <w:rPr>
          <w:color w:val="231F20"/>
        </w:rPr>
        <w:t> for investigation and suitable action. The complaint should specify in detail the circumstances giving rise to the alleged violation, including dates and</w:t>
      </w:r>
      <w:r>
        <w:rPr>
          <w:color w:val="231F20"/>
          <w:spacing w:val="40"/>
        </w:rPr>
        <w:t> </w:t>
      </w:r>
      <w:r>
        <w:rPr>
          <w:color w:val="231F20"/>
        </w:rPr>
        <w:t>the persons involved. The Attorney General’s enforcement power will not be used, however, to resolve the internal disputes and disagreements of</w:t>
      </w:r>
      <w:r>
        <w:rPr>
          <w:color w:val="231F20"/>
          <w:spacing w:val="40"/>
        </w:rPr>
        <w:t> </w:t>
      </w:r>
      <w:r>
        <w:rPr>
          <w:color w:val="231F20"/>
        </w:rPr>
        <w:t>a public body or public displeasure with a body’s exercise of its discretionary authority.</w:t>
      </w:r>
    </w:p>
    <w:p>
      <w:pPr>
        <w:pStyle w:val="BodyText"/>
        <w:spacing w:before="1"/>
      </w:pPr>
    </w:p>
    <w:p>
      <w:pPr>
        <w:pStyle w:val="BodyText"/>
        <w:ind w:left="475" w:right="39" w:hanging="10"/>
        <w:jc w:val="both"/>
      </w:pPr>
      <w:r>
        <w:rPr>
          <w:color w:val="231F20"/>
        </w:rPr>
        <w:t>The Attorney General will exercise discretion</w:t>
      </w:r>
      <w:r>
        <w:rPr>
          <w:color w:val="231F20"/>
          <w:spacing w:val="40"/>
        </w:rPr>
        <w:t> </w:t>
      </w:r>
      <w:r>
        <w:rPr>
          <w:color w:val="231F20"/>
        </w:rPr>
        <w:t>when considering</w:t>
      </w:r>
      <w:r>
        <w:rPr>
          <w:color w:val="231F20"/>
          <w:spacing w:val="-2"/>
        </w:rPr>
        <w:t> </w:t>
      </w:r>
      <w:r>
        <w:rPr>
          <w:color w:val="231F20"/>
        </w:rPr>
        <w:t>whether or not to void actions of public bodies and to bring misdemeanor charges for</w:t>
      </w:r>
      <w:r>
        <w:rPr>
          <w:color w:val="231F20"/>
        </w:rPr>
        <w:t> alleged</w:t>
      </w:r>
      <w:r>
        <w:rPr>
          <w:color w:val="231F20"/>
        </w:rPr>
        <w:t> violations</w:t>
      </w:r>
      <w:r>
        <w:rPr>
          <w:color w:val="231F20"/>
        </w:rPr>
        <w:t> of</w:t>
      </w:r>
      <w:r>
        <w:rPr>
          <w:color w:val="231F20"/>
        </w:rPr>
        <w:t> the</w:t>
      </w:r>
      <w:r>
        <w:rPr>
          <w:color w:val="231F20"/>
        </w:rPr>
        <w:t> Act. Unintentional failure to comply with the provisions of the Act may</w:t>
      </w:r>
      <w:r>
        <w:rPr>
          <w:color w:val="231F20"/>
          <w:spacing w:val="22"/>
        </w:rPr>
        <w:t> </w:t>
      </w:r>
      <w:r>
        <w:rPr>
          <w:color w:val="231F20"/>
        </w:rPr>
        <w:t>render</w:t>
      </w:r>
      <w:r>
        <w:rPr>
          <w:color w:val="231F20"/>
          <w:spacing w:val="24"/>
        </w:rPr>
        <w:t> </w:t>
      </w:r>
      <w:r>
        <w:rPr>
          <w:color w:val="231F20"/>
        </w:rPr>
        <w:t>the</w:t>
      </w:r>
      <w:r>
        <w:rPr>
          <w:color w:val="231F20"/>
          <w:spacing w:val="26"/>
        </w:rPr>
        <w:t> </w:t>
      </w:r>
      <w:r>
        <w:rPr>
          <w:color w:val="231F20"/>
        </w:rPr>
        <w:t>actions</w:t>
      </w:r>
      <w:r>
        <w:rPr>
          <w:color w:val="231F20"/>
          <w:spacing w:val="25"/>
        </w:rPr>
        <w:t> </w:t>
      </w:r>
      <w:r>
        <w:rPr>
          <w:color w:val="231F20"/>
        </w:rPr>
        <w:t>taken</w:t>
      </w:r>
      <w:r>
        <w:rPr>
          <w:color w:val="231F20"/>
          <w:spacing w:val="25"/>
        </w:rPr>
        <w:t> </w:t>
      </w:r>
      <w:r>
        <w:rPr>
          <w:color w:val="231F20"/>
        </w:rPr>
        <w:t>invalid,</w:t>
      </w:r>
      <w:r>
        <w:rPr>
          <w:color w:val="231F20"/>
          <w:spacing w:val="25"/>
        </w:rPr>
        <w:t> </w:t>
      </w:r>
      <w:r>
        <w:rPr>
          <w:color w:val="231F20"/>
        </w:rPr>
        <w:t>but</w:t>
      </w:r>
      <w:r>
        <w:rPr>
          <w:color w:val="231F20"/>
          <w:spacing w:val="25"/>
        </w:rPr>
        <w:t> </w:t>
      </w:r>
      <w:r>
        <w:rPr>
          <w:color w:val="231F20"/>
        </w:rPr>
        <w:t>will</w:t>
      </w:r>
      <w:r>
        <w:rPr>
          <w:color w:val="231F20"/>
          <w:spacing w:val="24"/>
        </w:rPr>
        <w:t> </w:t>
      </w:r>
      <w:r>
        <w:rPr>
          <w:color w:val="231F20"/>
          <w:spacing w:val="-5"/>
        </w:rPr>
        <w:t>not</w:t>
      </w:r>
    </w:p>
    <w:p>
      <w:pPr>
        <w:pStyle w:val="BodyText"/>
        <w:spacing w:before="90"/>
        <w:ind w:left="475" w:right="351"/>
        <w:jc w:val="both"/>
      </w:pPr>
      <w:r>
        <w:rPr/>
        <w:br w:type="column"/>
      </w:r>
      <w:r>
        <w:rPr>
          <w:color w:val="231F20"/>
        </w:rPr>
        <w:t>necessarily lead to prosecution. It is the intent of the Attorney General to prosecute misdemeanors only in the case of knowing and either flagrant or repeated violations of the requirements of the Act. The Attorney General will not prosecute where there has been a good faith attempt to comply</w:t>
      </w:r>
      <w:r>
        <w:rPr>
          <w:color w:val="231F20"/>
          <w:spacing w:val="-4"/>
        </w:rPr>
        <w:t> </w:t>
      </w:r>
      <w:r>
        <w:rPr>
          <w:color w:val="231F20"/>
        </w:rPr>
        <w:t>with the Act.</w:t>
      </w:r>
    </w:p>
    <w:p>
      <w:pPr>
        <w:pStyle w:val="BodyText"/>
      </w:pPr>
    </w:p>
    <w:p>
      <w:pPr>
        <w:spacing w:before="0"/>
        <w:ind w:left="465" w:right="0" w:firstLine="0"/>
        <w:jc w:val="both"/>
        <w:rPr>
          <w:i/>
          <w:sz w:val="24"/>
        </w:rPr>
      </w:pPr>
      <w:bookmarkStart w:name="Example 84:" w:id="237"/>
      <w:bookmarkEnd w:id="23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84:</w:t>
      </w:r>
    </w:p>
    <w:p>
      <w:pPr>
        <w:pStyle w:val="BodyText"/>
        <w:rPr>
          <w:i/>
        </w:rPr>
      </w:pPr>
    </w:p>
    <w:p>
      <w:pPr>
        <w:spacing w:before="0"/>
        <w:ind w:left="475" w:right="349" w:hanging="10"/>
        <w:jc w:val="both"/>
        <w:rPr>
          <w:i/>
          <w:sz w:val="24"/>
        </w:rPr>
      </w:pPr>
      <w:r>
        <w:rPr>
          <w:i/>
          <w:color w:val="231F20"/>
          <w:sz w:val="24"/>
        </w:rPr>
        <w:t>A city council’s notice resolution provides that it</w:t>
      </w:r>
      <w:r>
        <w:rPr>
          <w:i/>
          <w:color w:val="231F20"/>
          <w:sz w:val="24"/>
        </w:rPr>
        <w:t> shall give public notice of all regular meetings by publication in the local newspaper as well as by posting notice on the three bulletin boards in City Hall. Following an open meeting at which a controversial zoning variance was granted and at which several hundred people appeared to express their views, an opponent of the variance</w:t>
      </w:r>
      <w:r>
        <w:rPr>
          <w:i/>
          <w:color w:val="231F20"/>
          <w:spacing w:val="40"/>
          <w:sz w:val="24"/>
        </w:rPr>
        <w:t> </w:t>
      </w:r>
      <w:r>
        <w:rPr>
          <w:i/>
          <w:color w:val="231F20"/>
          <w:sz w:val="24"/>
        </w:rPr>
        <w:t>determines that the notice of the meeting, while properly published, was posted on only two</w:t>
      </w:r>
      <w:r>
        <w:rPr>
          <w:i/>
          <w:color w:val="231F20"/>
          <w:spacing w:val="40"/>
          <w:sz w:val="24"/>
        </w:rPr>
        <w:t> </w:t>
      </w:r>
      <w:r>
        <w:rPr>
          <w:i/>
          <w:color w:val="231F20"/>
          <w:sz w:val="24"/>
        </w:rPr>
        <w:t>bulletin boards. The individual requests that the Attorney General declare the variance invalid and prosecute the city councilors. The Attorney General investigates and determines that the failure to post the notice on the third bulletin</w:t>
      </w:r>
      <w:r>
        <w:rPr>
          <w:i/>
          <w:color w:val="231F20"/>
          <w:spacing w:val="40"/>
          <w:sz w:val="24"/>
        </w:rPr>
        <w:t> </w:t>
      </w:r>
      <w:r>
        <w:rPr>
          <w:i/>
          <w:color w:val="231F20"/>
          <w:sz w:val="24"/>
        </w:rPr>
        <w:t>board was inadvertent and that the public was adequately notified of the meeting. The Attorney General, within his discretion, declines to declare the</w:t>
      </w:r>
      <w:r>
        <w:rPr>
          <w:i/>
          <w:color w:val="231F20"/>
          <w:spacing w:val="-1"/>
          <w:sz w:val="24"/>
        </w:rPr>
        <w:t> </w:t>
      </w:r>
      <w:r>
        <w:rPr>
          <w:i/>
          <w:color w:val="231F20"/>
          <w:sz w:val="24"/>
        </w:rPr>
        <w:t>council’s action invalid or to prosecute</w:t>
      </w:r>
      <w:r>
        <w:rPr>
          <w:i/>
          <w:color w:val="231F20"/>
          <w:spacing w:val="-1"/>
          <w:sz w:val="24"/>
        </w:rPr>
        <w:t> </w:t>
      </w:r>
      <w:r>
        <w:rPr>
          <w:i/>
          <w:color w:val="231F20"/>
          <w:sz w:val="24"/>
        </w:rPr>
        <w:t>the</w:t>
      </w:r>
      <w:r>
        <w:rPr>
          <w:i/>
          <w:color w:val="231F20"/>
          <w:spacing w:val="-1"/>
          <w:sz w:val="24"/>
        </w:rPr>
        <w:t> </w:t>
      </w:r>
      <w:r>
        <w:rPr>
          <w:i/>
          <w:color w:val="231F20"/>
          <w:sz w:val="24"/>
        </w:rPr>
        <w:t>city </w:t>
      </w:r>
      <w:r>
        <w:rPr>
          <w:i/>
          <w:color w:val="231F20"/>
          <w:spacing w:val="-2"/>
          <w:sz w:val="24"/>
        </w:rPr>
        <w:t>councilors.</w:t>
      </w:r>
    </w:p>
    <w:p>
      <w:pPr>
        <w:pStyle w:val="BodyText"/>
        <w:rPr>
          <w:i/>
        </w:rPr>
      </w:pPr>
    </w:p>
    <w:p>
      <w:pPr>
        <w:pStyle w:val="BodyText"/>
        <w:ind w:left="465"/>
      </w:pPr>
      <w:bookmarkStart w:name="Commentary" w:id="238"/>
      <w:bookmarkEnd w:id="238"/>
      <w:r>
        <w:rPr/>
      </w:r>
      <w:r>
        <w:rPr>
          <w:color w:val="231F20"/>
          <w:spacing w:val="-2"/>
          <w:u w:val="single" w:color="231F20"/>
        </w:rPr>
        <w:t>Commentary</w:t>
      </w:r>
    </w:p>
    <w:p>
      <w:pPr>
        <w:pStyle w:val="BodyText"/>
      </w:pPr>
    </w:p>
    <w:p>
      <w:pPr>
        <w:pStyle w:val="BodyText"/>
        <w:ind w:left="475" w:right="348" w:hanging="10"/>
        <w:jc w:val="both"/>
      </w:pPr>
      <w:r>
        <w:rPr>
          <w:color w:val="231F20"/>
        </w:rPr>
        <w:t>In most cases, if a violation is found, the Attorney General will enforce the Act by first advising the public body that, in his opinion, the actions taken</w:t>
      </w:r>
      <w:r>
        <w:rPr>
          <w:color w:val="231F20"/>
          <w:spacing w:val="40"/>
        </w:rPr>
        <w:t> </w:t>
      </w:r>
      <w:r>
        <w:rPr>
          <w:color w:val="231F20"/>
        </w:rPr>
        <w:t>at a particular meeting of the public body were not in</w:t>
      </w:r>
      <w:r>
        <w:rPr>
          <w:color w:val="231F20"/>
        </w:rPr>
        <w:t> compliance</w:t>
      </w:r>
      <w:r>
        <w:rPr>
          <w:color w:val="231F20"/>
        </w:rPr>
        <w:t> with the Act and are consequently not</w:t>
      </w:r>
      <w:r>
        <w:rPr>
          <w:color w:val="231F20"/>
          <w:spacing w:val="-1"/>
        </w:rPr>
        <w:t> </w:t>
      </w:r>
      <w:r>
        <w:rPr>
          <w:color w:val="231F20"/>
        </w:rPr>
        <w:t>valid.</w:t>
      </w:r>
      <w:r>
        <w:rPr>
          <w:color w:val="231F20"/>
          <w:spacing w:val="-1"/>
        </w:rPr>
        <w:t> </w:t>
      </w:r>
      <w:r>
        <w:rPr>
          <w:color w:val="231F20"/>
        </w:rPr>
        <w:t>Unless</w:t>
      </w:r>
      <w:r>
        <w:rPr>
          <w:color w:val="231F20"/>
          <w:spacing w:val="-1"/>
        </w:rPr>
        <w:t> </w:t>
      </w:r>
      <w:r>
        <w:rPr>
          <w:color w:val="231F20"/>
        </w:rPr>
        <w:t>the</w:t>
      </w:r>
      <w:r>
        <w:rPr>
          <w:color w:val="231F20"/>
          <w:spacing w:val="-2"/>
        </w:rPr>
        <w:t> </w:t>
      </w:r>
      <w:r>
        <w:rPr>
          <w:color w:val="231F20"/>
        </w:rPr>
        <w:t>violation</w:t>
      </w:r>
      <w:r>
        <w:rPr>
          <w:color w:val="231F20"/>
          <w:spacing w:val="-1"/>
        </w:rPr>
        <w:t> </w:t>
      </w:r>
      <w:r>
        <w:rPr>
          <w:color w:val="231F20"/>
        </w:rPr>
        <w:t>was</w:t>
      </w:r>
      <w:r>
        <w:rPr>
          <w:color w:val="231F20"/>
          <w:spacing w:val="-1"/>
        </w:rPr>
        <w:t> </w:t>
      </w:r>
      <w:r>
        <w:rPr>
          <w:color w:val="231F20"/>
        </w:rPr>
        <w:t>part</w:t>
      </w:r>
      <w:r>
        <w:rPr>
          <w:color w:val="231F20"/>
          <w:spacing w:val="-1"/>
        </w:rPr>
        <w:t> </w:t>
      </w:r>
      <w:r>
        <w:rPr>
          <w:color w:val="231F20"/>
        </w:rPr>
        <w:t>of</w:t>
      </w:r>
      <w:r>
        <w:rPr>
          <w:color w:val="231F20"/>
          <w:spacing w:val="-2"/>
        </w:rPr>
        <w:t> </w:t>
      </w:r>
      <w:r>
        <w:rPr>
          <w:color w:val="231F20"/>
        </w:rPr>
        <w:t>a</w:t>
      </w:r>
      <w:r>
        <w:rPr>
          <w:color w:val="231F20"/>
          <w:spacing w:val="-2"/>
        </w:rPr>
        <w:t> </w:t>
      </w:r>
      <w:r>
        <w:rPr>
          <w:color w:val="231F20"/>
        </w:rPr>
        <w:t>pattern or practice of Open Meetings Act violations, the public body would then be advised to begin again and to consider the intended actions in accordance with the provisions of the Act. This could involve re-discussing issues previously addressed as well</w:t>
      </w:r>
      <w:r>
        <w:rPr>
          <w:color w:val="231F20"/>
          <w:spacing w:val="40"/>
        </w:rPr>
        <w:t> </w:t>
      </w:r>
      <w:r>
        <w:rPr>
          <w:color w:val="231F20"/>
        </w:rPr>
        <w:t>as voting again on matters previously voted on in violation of the Act. Should the public body, after such notification, refuse</w:t>
      </w:r>
      <w:r>
        <w:rPr>
          <w:color w:val="231F20"/>
          <w:spacing w:val="-1"/>
        </w:rPr>
        <w:t> </w:t>
      </w:r>
      <w:r>
        <w:rPr>
          <w:color w:val="231F20"/>
        </w:rPr>
        <w:t>to reconsider its actions in a proper manner or otherwise indicate its intention to continue</w:t>
      </w:r>
      <w:r>
        <w:rPr>
          <w:color w:val="231F20"/>
          <w:spacing w:val="-1"/>
        </w:rPr>
        <w:t> </w:t>
      </w:r>
      <w:r>
        <w:rPr>
          <w:color w:val="231F20"/>
        </w:rPr>
        <w:t>violating</w:t>
      </w:r>
      <w:r>
        <w:rPr>
          <w:color w:val="231F20"/>
          <w:spacing w:val="-2"/>
        </w:rPr>
        <w:t> </w:t>
      </w:r>
      <w:r>
        <w:rPr>
          <w:color w:val="231F20"/>
        </w:rPr>
        <w:t>the Act, the</w:t>
      </w:r>
      <w:r>
        <w:rPr>
          <w:color w:val="231F20"/>
          <w:spacing w:val="-1"/>
        </w:rPr>
        <w:t> </w:t>
      </w:r>
      <w:r>
        <w:rPr>
          <w:color w:val="231F20"/>
        </w:rPr>
        <w:t>Attorney</w:t>
      </w:r>
      <w:r>
        <w:rPr>
          <w:color w:val="231F20"/>
          <w:spacing w:val="-2"/>
        </w:rPr>
        <w:t> </w:t>
      </w:r>
      <w:r>
        <w:rPr>
          <w:color w:val="231F20"/>
        </w:rPr>
        <w:t>General may</w:t>
      </w:r>
      <w:r>
        <w:rPr>
          <w:color w:val="231F20"/>
          <w:spacing w:val="74"/>
        </w:rPr>
        <w:t> </w:t>
      </w:r>
      <w:r>
        <w:rPr>
          <w:color w:val="231F20"/>
        </w:rPr>
        <w:t>file</w:t>
      </w:r>
      <w:r>
        <w:rPr>
          <w:color w:val="231F20"/>
          <w:spacing w:val="79"/>
        </w:rPr>
        <w:t> </w:t>
      </w:r>
      <w:r>
        <w:rPr>
          <w:color w:val="231F20"/>
        </w:rPr>
        <w:t>criminal</w:t>
      </w:r>
      <w:r>
        <w:rPr>
          <w:color w:val="231F20"/>
          <w:spacing w:val="51"/>
          <w:w w:val="150"/>
        </w:rPr>
        <w:t> </w:t>
      </w:r>
      <w:r>
        <w:rPr>
          <w:color w:val="231F20"/>
        </w:rPr>
        <w:t>charges</w:t>
      </w:r>
      <w:r>
        <w:rPr>
          <w:color w:val="231F20"/>
          <w:spacing w:val="79"/>
        </w:rPr>
        <w:t> </w:t>
      </w:r>
      <w:r>
        <w:rPr>
          <w:color w:val="231F20"/>
        </w:rPr>
        <w:t>or</w:t>
      </w:r>
      <w:r>
        <w:rPr>
          <w:color w:val="231F20"/>
          <w:spacing w:val="79"/>
        </w:rPr>
        <w:t> </w:t>
      </w:r>
      <w:r>
        <w:rPr>
          <w:color w:val="231F20"/>
        </w:rPr>
        <w:t>take</w:t>
      </w:r>
      <w:r>
        <w:rPr>
          <w:color w:val="231F20"/>
          <w:spacing w:val="79"/>
        </w:rPr>
        <w:t> </w:t>
      </w:r>
      <w:r>
        <w:rPr>
          <w:color w:val="231F20"/>
        </w:rPr>
        <w:t>other</w:t>
      </w:r>
      <w:r>
        <w:rPr>
          <w:color w:val="231F20"/>
          <w:spacing w:val="79"/>
        </w:rPr>
        <w:t> </w:t>
      </w:r>
      <w:r>
        <w:rPr>
          <w:color w:val="231F20"/>
          <w:spacing w:val="-2"/>
        </w:rPr>
        <w:t>action</w:t>
      </w:r>
    </w:p>
    <w:p>
      <w:pPr>
        <w:spacing w:after="0"/>
        <w:jc w:val="both"/>
        <w:sectPr>
          <w:type w:val="continuous"/>
          <w:pgSz w:w="12240" w:h="15840"/>
          <w:pgMar w:header="660" w:footer="484" w:top="480" w:bottom="280" w:left="360" w:right="240"/>
          <w:cols w:num="2" w:equalWidth="0">
            <w:col w:w="5448" w:space="435"/>
            <w:col w:w="5757"/>
          </w:cols>
        </w:sectPr>
      </w:pPr>
    </w:p>
    <w:p>
      <w:pPr>
        <w:pStyle w:val="BodyText"/>
        <w:spacing w:before="8"/>
        <w:rPr>
          <w:sz w:val="15"/>
        </w:rPr>
      </w:pPr>
    </w:p>
    <w:p>
      <w:pPr>
        <w:spacing w:after="0"/>
        <w:rPr>
          <w:sz w:val="15"/>
        </w:rPr>
        <w:sectPr>
          <w:pgSz w:w="12240" w:h="15840"/>
          <w:pgMar w:header="660" w:footer="484" w:top="960" w:bottom="720" w:left="360" w:right="240"/>
        </w:sectPr>
      </w:pPr>
    </w:p>
    <w:p>
      <w:pPr>
        <w:pStyle w:val="BodyText"/>
        <w:spacing w:before="90"/>
        <w:ind w:left="475" w:right="38"/>
        <w:jc w:val="both"/>
      </w:pPr>
      <w:r>
        <w:rPr>
          <w:color w:val="231F20"/>
        </w:rPr>
        <w:t>against the public body or those persons allegedly in violation of the Act.</w:t>
      </w:r>
    </w:p>
    <w:p>
      <w:pPr>
        <w:pStyle w:val="BodyText"/>
        <w:spacing w:before="11"/>
        <w:rPr>
          <w:sz w:val="23"/>
        </w:rPr>
      </w:pPr>
    </w:p>
    <w:p>
      <w:pPr>
        <w:spacing w:before="0"/>
        <w:ind w:left="465" w:right="0" w:firstLine="0"/>
        <w:jc w:val="both"/>
        <w:rPr>
          <w:i/>
          <w:sz w:val="24"/>
        </w:rPr>
      </w:pPr>
      <w:bookmarkStart w:name="Example 85:" w:id="239"/>
      <w:bookmarkEnd w:id="239"/>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85:</w:t>
      </w:r>
    </w:p>
    <w:p>
      <w:pPr>
        <w:pStyle w:val="BodyText"/>
        <w:rPr>
          <w:i/>
        </w:rPr>
      </w:pPr>
    </w:p>
    <w:p>
      <w:pPr>
        <w:spacing w:before="0"/>
        <w:ind w:left="475" w:right="39" w:hanging="10"/>
        <w:jc w:val="both"/>
        <w:rPr>
          <w:i/>
          <w:sz w:val="24"/>
        </w:rPr>
      </w:pPr>
      <w:r>
        <w:rPr>
          <w:i/>
          <w:color w:val="231F20"/>
          <w:sz w:val="24"/>
        </w:rPr>
        <w:t>The board of regents of a state educational</w:t>
      </w:r>
      <w:r>
        <w:rPr>
          <w:i/>
          <w:color w:val="231F20"/>
          <w:sz w:val="24"/>
        </w:rPr>
        <w:t> institution meets in closed session with its attorney pursuant to Section 10-15-1(H)(7)</w:t>
      </w:r>
      <w:r>
        <w:rPr>
          <w:i/>
          <w:color w:val="231F20"/>
          <w:sz w:val="24"/>
        </w:rPr>
        <w:t> of</w:t>
      </w:r>
      <w:r>
        <w:rPr>
          <w:i/>
          <w:color w:val="231F20"/>
          <w:sz w:val="24"/>
        </w:rPr>
        <w:t> the</w:t>
      </w:r>
      <w:r>
        <w:rPr>
          <w:i/>
          <w:color w:val="231F20"/>
          <w:sz w:val="24"/>
        </w:rPr>
        <w:t> Act</w:t>
      </w:r>
      <w:r>
        <w:rPr>
          <w:i/>
          <w:color w:val="231F20"/>
          <w:sz w:val="24"/>
        </w:rPr>
        <w:t> and takes</w:t>
      </w:r>
      <w:r>
        <w:rPr>
          <w:i/>
          <w:color w:val="231F20"/>
          <w:spacing w:val="-3"/>
          <w:sz w:val="24"/>
        </w:rPr>
        <w:t> </w:t>
      </w:r>
      <w:r>
        <w:rPr>
          <w:i/>
          <w:color w:val="231F20"/>
          <w:sz w:val="24"/>
        </w:rPr>
        <w:t>final</w:t>
      </w:r>
      <w:r>
        <w:rPr>
          <w:i/>
          <w:color w:val="231F20"/>
          <w:spacing w:val="-3"/>
          <w:sz w:val="24"/>
        </w:rPr>
        <w:t> </w:t>
      </w:r>
      <w:r>
        <w:rPr>
          <w:i/>
          <w:color w:val="231F20"/>
          <w:sz w:val="24"/>
        </w:rPr>
        <w:t>action</w:t>
      </w:r>
      <w:r>
        <w:rPr>
          <w:i/>
          <w:color w:val="231F20"/>
          <w:spacing w:val="-3"/>
          <w:sz w:val="24"/>
        </w:rPr>
        <w:t> </w:t>
      </w:r>
      <w:r>
        <w:rPr>
          <w:i/>
          <w:color w:val="231F20"/>
          <w:sz w:val="24"/>
        </w:rPr>
        <w:t>to</w:t>
      </w:r>
      <w:r>
        <w:rPr>
          <w:i/>
          <w:color w:val="231F20"/>
          <w:spacing w:val="-3"/>
          <w:sz w:val="24"/>
        </w:rPr>
        <w:t> </w:t>
      </w:r>
      <w:r>
        <w:rPr>
          <w:i/>
          <w:color w:val="231F20"/>
          <w:sz w:val="24"/>
        </w:rPr>
        <w:t>adopt</w:t>
      </w:r>
      <w:r>
        <w:rPr>
          <w:i/>
          <w:color w:val="231F20"/>
          <w:spacing w:val="-3"/>
          <w:sz w:val="24"/>
        </w:rPr>
        <w:t> </w:t>
      </w:r>
      <w:r>
        <w:rPr>
          <w:i/>
          <w:color w:val="231F20"/>
          <w:sz w:val="24"/>
        </w:rPr>
        <w:t>regulations</w:t>
      </w:r>
      <w:r>
        <w:rPr>
          <w:i/>
          <w:color w:val="231F20"/>
          <w:spacing w:val="-3"/>
          <w:sz w:val="24"/>
        </w:rPr>
        <w:t> </w:t>
      </w:r>
      <w:r>
        <w:rPr>
          <w:i/>
          <w:color w:val="231F20"/>
          <w:sz w:val="24"/>
        </w:rPr>
        <w:t>affecting</w:t>
      </w:r>
      <w:r>
        <w:rPr>
          <w:i/>
          <w:color w:val="231F20"/>
          <w:spacing w:val="-3"/>
          <w:sz w:val="24"/>
        </w:rPr>
        <w:t> </w:t>
      </w:r>
      <w:r>
        <w:rPr>
          <w:i/>
          <w:color w:val="231F20"/>
          <w:sz w:val="24"/>
        </w:rPr>
        <w:t>the student body. The student council reports this action</w:t>
      </w:r>
      <w:r>
        <w:rPr>
          <w:i/>
          <w:color w:val="231F20"/>
          <w:spacing w:val="-2"/>
          <w:sz w:val="24"/>
        </w:rPr>
        <w:t> </w:t>
      </w:r>
      <w:r>
        <w:rPr>
          <w:i/>
          <w:color w:val="231F20"/>
          <w:sz w:val="24"/>
        </w:rPr>
        <w:t>to</w:t>
      </w:r>
      <w:r>
        <w:rPr>
          <w:i/>
          <w:color w:val="231F20"/>
          <w:spacing w:val="-2"/>
          <w:sz w:val="24"/>
        </w:rPr>
        <w:t> </w:t>
      </w:r>
      <w:r>
        <w:rPr>
          <w:i/>
          <w:color w:val="231F20"/>
          <w:sz w:val="24"/>
        </w:rPr>
        <w:t>the</w:t>
      </w:r>
      <w:r>
        <w:rPr>
          <w:i/>
          <w:color w:val="231F20"/>
          <w:spacing w:val="-3"/>
          <w:sz w:val="24"/>
        </w:rPr>
        <w:t> </w:t>
      </w:r>
      <w:r>
        <w:rPr>
          <w:i/>
          <w:color w:val="231F20"/>
          <w:sz w:val="24"/>
        </w:rPr>
        <w:t>Attorney</w:t>
      </w:r>
      <w:r>
        <w:rPr>
          <w:i/>
          <w:color w:val="231F20"/>
          <w:spacing w:val="-3"/>
          <w:sz w:val="24"/>
        </w:rPr>
        <w:t> </w:t>
      </w:r>
      <w:r>
        <w:rPr>
          <w:i/>
          <w:color w:val="231F20"/>
          <w:sz w:val="24"/>
        </w:rPr>
        <w:t>General</w:t>
      </w:r>
      <w:r>
        <w:rPr>
          <w:i/>
          <w:color w:val="231F20"/>
          <w:spacing w:val="-2"/>
          <w:sz w:val="24"/>
        </w:rPr>
        <w:t> </w:t>
      </w:r>
      <w:r>
        <w:rPr>
          <w:i/>
          <w:color w:val="231F20"/>
          <w:sz w:val="24"/>
        </w:rPr>
        <w:t>who</w:t>
      </w:r>
      <w:r>
        <w:rPr>
          <w:i/>
          <w:color w:val="231F20"/>
          <w:spacing w:val="-2"/>
          <w:sz w:val="24"/>
        </w:rPr>
        <w:t> </w:t>
      </w:r>
      <w:r>
        <w:rPr>
          <w:i/>
          <w:color w:val="231F20"/>
          <w:sz w:val="24"/>
        </w:rPr>
        <w:t>finds</w:t>
      </w:r>
      <w:r>
        <w:rPr>
          <w:i/>
          <w:color w:val="231F20"/>
          <w:spacing w:val="-2"/>
          <w:sz w:val="24"/>
        </w:rPr>
        <w:t> </w:t>
      </w:r>
      <w:r>
        <w:rPr>
          <w:i/>
          <w:color w:val="231F20"/>
          <w:sz w:val="24"/>
        </w:rPr>
        <w:t>that</w:t>
      </w:r>
      <w:r>
        <w:rPr>
          <w:i/>
          <w:color w:val="231F20"/>
          <w:spacing w:val="-1"/>
          <w:sz w:val="24"/>
        </w:rPr>
        <w:t> </w:t>
      </w:r>
      <w:r>
        <w:rPr>
          <w:i/>
          <w:color w:val="231F20"/>
          <w:sz w:val="24"/>
        </w:rPr>
        <w:t>there was no threatened or pending litigation discussed. The meeting should not have been closed. The Attorney General notifies the regents of these findings and advises them to suspend </w:t>
      </w:r>
      <w:r>
        <w:rPr>
          <w:i/>
          <w:color w:val="231F20"/>
          <w:sz w:val="24"/>
        </w:rPr>
        <w:t>the regulations and reconsider them in an open</w:t>
      </w:r>
      <w:r>
        <w:rPr>
          <w:i/>
          <w:color w:val="231F20"/>
          <w:spacing w:val="40"/>
          <w:sz w:val="24"/>
        </w:rPr>
        <w:t> </w:t>
      </w:r>
      <w:r>
        <w:rPr>
          <w:i/>
          <w:color w:val="231F20"/>
          <w:sz w:val="24"/>
        </w:rPr>
        <w:t>session where representatives of the student body may attend and listen to the discussion. The</w:t>
      </w:r>
      <w:r>
        <w:rPr>
          <w:i/>
          <w:color w:val="231F20"/>
          <w:spacing w:val="40"/>
          <w:sz w:val="24"/>
        </w:rPr>
        <w:t> </w:t>
      </w:r>
      <w:r>
        <w:rPr>
          <w:i/>
          <w:color w:val="231F20"/>
          <w:sz w:val="24"/>
        </w:rPr>
        <w:t>regents comply with this advice and no</w:t>
      </w:r>
      <w:r>
        <w:rPr>
          <w:i/>
          <w:color w:val="231F20"/>
          <w:spacing w:val="40"/>
          <w:sz w:val="24"/>
        </w:rPr>
        <w:t> </w:t>
      </w:r>
      <w:r>
        <w:rPr>
          <w:i/>
          <w:color w:val="231F20"/>
          <w:sz w:val="24"/>
        </w:rPr>
        <w:t>prosecution is initiated.</w:t>
      </w:r>
    </w:p>
    <w:p>
      <w:pPr>
        <w:pStyle w:val="BodyText"/>
        <w:rPr>
          <w:i/>
        </w:rPr>
      </w:pPr>
    </w:p>
    <w:p>
      <w:pPr>
        <w:spacing w:before="1"/>
        <w:ind w:left="465" w:right="0" w:firstLine="0"/>
        <w:jc w:val="both"/>
        <w:rPr>
          <w:i/>
          <w:sz w:val="24"/>
        </w:rPr>
      </w:pPr>
      <w:bookmarkStart w:name="Example 86:" w:id="240"/>
      <w:bookmarkEnd w:id="240"/>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86:</w:t>
      </w:r>
    </w:p>
    <w:p>
      <w:pPr>
        <w:pStyle w:val="ListParagraph"/>
        <w:numPr>
          <w:ilvl w:val="1"/>
          <w:numId w:val="15"/>
        </w:numPr>
        <w:tabs>
          <w:tab w:pos="1570" w:val="left" w:leader="none"/>
        </w:tabs>
        <w:spacing w:line="240" w:lineRule="auto" w:before="90" w:after="0"/>
        <w:ind w:left="475" w:right="350" w:firstLine="720"/>
        <w:jc w:val="both"/>
        <w:rPr>
          <w:sz w:val="24"/>
        </w:rPr>
      </w:pPr>
      <w:r>
        <w:rPr/>
        <w:br w:type="column"/>
      </w:r>
      <w:r>
        <w:rPr>
          <w:color w:val="231F20"/>
          <w:sz w:val="24"/>
        </w:rPr>
        <w:t>the</w:t>
      </w:r>
      <w:r>
        <w:rPr>
          <w:color w:val="231F20"/>
          <w:sz w:val="24"/>
        </w:rPr>
        <w:t> individual</w:t>
      </w:r>
      <w:r>
        <w:rPr>
          <w:color w:val="231F20"/>
          <w:sz w:val="24"/>
        </w:rPr>
        <w:t> must provide the </w:t>
      </w:r>
      <w:r>
        <w:rPr>
          <w:color w:val="231F20"/>
          <w:sz w:val="24"/>
        </w:rPr>
        <w:t>public body with written notice of the claimed violation; </w:t>
      </w:r>
      <w:r>
        <w:rPr>
          <w:color w:val="231F20"/>
          <w:spacing w:val="-4"/>
          <w:sz w:val="24"/>
        </w:rPr>
        <w:t>and</w:t>
      </w:r>
    </w:p>
    <w:p>
      <w:pPr>
        <w:pStyle w:val="ListParagraph"/>
        <w:numPr>
          <w:ilvl w:val="1"/>
          <w:numId w:val="15"/>
        </w:numPr>
        <w:tabs>
          <w:tab w:pos="1587" w:val="left" w:leader="none"/>
        </w:tabs>
        <w:spacing w:line="240" w:lineRule="auto" w:before="0" w:after="0"/>
        <w:ind w:left="475" w:right="351" w:firstLine="720"/>
        <w:jc w:val="both"/>
        <w:rPr>
          <w:sz w:val="24"/>
        </w:rPr>
      </w:pPr>
      <w:r>
        <w:rPr>
          <w:color w:val="231F20"/>
          <w:sz w:val="24"/>
        </w:rPr>
        <w:t>the</w:t>
      </w:r>
      <w:r>
        <w:rPr>
          <w:color w:val="231F20"/>
          <w:sz w:val="24"/>
        </w:rPr>
        <w:t> public</w:t>
      </w:r>
      <w:r>
        <w:rPr>
          <w:color w:val="231F20"/>
          <w:sz w:val="24"/>
        </w:rPr>
        <w:t> body</w:t>
      </w:r>
      <w:r>
        <w:rPr>
          <w:color w:val="231F20"/>
          <w:sz w:val="24"/>
        </w:rPr>
        <w:t> must have denied or failed to act on the claimed violation within</w:t>
      </w:r>
      <w:r>
        <w:rPr>
          <w:color w:val="231F20"/>
          <w:spacing w:val="-1"/>
          <w:sz w:val="24"/>
        </w:rPr>
        <w:t> </w:t>
      </w:r>
      <w:r>
        <w:rPr>
          <w:color w:val="231F20"/>
          <w:sz w:val="24"/>
        </w:rPr>
        <w:t>fifteen</w:t>
      </w:r>
    </w:p>
    <w:p>
      <w:pPr>
        <w:pStyle w:val="BodyText"/>
        <w:ind w:left="475"/>
        <w:jc w:val="both"/>
      </w:pPr>
      <w:r>
        <w:rPr>
          <w:color w:val="231F20"/>
        </w:rPr>
        <w:t>(15)</w:t>
      </w:r>
      <w:r>
        <w:rPr>
          <w:color w:val="231F20"/>
          <w:spacing w:val="-4"/>
        </w:rPr>
        <w:t> </w:t>
      </w:r>
      <w:r>
        <w:rPr>
          <w:color w:val="231F20"/>
        </w:rPr>
        <w:t>days</w:t>
      </w:r>
      <w:r>
        <w:rPr>
          <w:color w:val="231F20"/>
          <w:spacing w:val="-3"/>
        </w:rPr>
        <w:t> </w:t>
      </w:r>
      <w:r>
        <w:rPr>
          <w:color w:val="231F20"/>
        </w:rPr>
        <w:t>of</w:t>
      </w:r>
      <w:r>
        <w:rPr>
          <w:color w:val="231F20"/>
          <w:spacing w:val="-1"/>
        </w:rPr>
        <w:t> </w:t>
      </w:r>
      <w:r>
        <w:rPr>
          <w:color w:val="231F20"/>
        </w:rPr>
        <w:t>receiving</w:t>
      </w:r>
      <w:r>
        <w:rPr>
          <w:color w:val="231F20"/>
          <w:spacing w:val="-5"/>
        </w:rPr>
        <w:t> </w:t>
      </w:r>
      <w:r>
        <w:rPr>
          <w:color w:val="231F20"/>
        </w:rPr>
        <w:t>the</w:t>
      </w:r>
      <w:r>
        <w:rPr>
          <w:color w:val="231F20"/>
          <w:spacing w:val="-3"/>
        </w:rPr>
        <w:t> </w:t>
      </w:r>
      <w:r>
        <w:rPr>
          <w:color w:val="231F20"/>
          <w:spacing w:val="-2"/>
        </w:rPr>
        <w:t>notice.</w:t>
      </w:r>
    </w:p>
    <w:p>
      <w:pPr>
        <w:pStyle w:val="BodyText"/>
      </w:pPr>
    </w:p>
    <w:p>
      <w:pPr>
        <w:pStyle w:val="BodyText"/>
        <w:ind w:left="475" w:right="348" w:hanging="10"/>
        <w:jc w:val="both"/>
      </w:pPr>
      <w:r>
        <w:rPr>
          <w:color w:val="231F20"/>
        </w:rPr>
        <w:t>The Act does not specify the procedure for providing written notice of an alleged violation to</w:t>
      </w:r>
      <w:r>
        <w:rPr>
          <w:color w:val="231F20"/>
          <w:spacing w:val="40"/>
        </w:rPr>
        <w:t> </w:t>
      </w:r>
      <w:r>
        <w:rPr>
          <w:color w:val="231F20"/>
        </w:rPr>
        <w:t>a</w:t>
      </w:r>
      <w:r>
        <w:rPr>
          <w:color w:val="231F20"/>
        </w:rPr>
        <w:t> public</w:t>
      </w:r>
      <w:r>
        <w:rPr>
          <w:color w:val="231F20"/>
        </w:rPr>
        <w:t> body.</w:t>
      </w:r>
      <w:r>
        <w:rPr>
          <w:color w:val="231F20"/>
        </w:rPr>
        <w:t> To</w:t>
      </w:r>
      <w:r>
        <w:rPr>
          <w:color w:val="231F20"/>
        </w:rPr>
        <w:t> avoid</w:t>
      </w:r>
      <w:r>
        <w:rPr>
          <w:color w:val="231F20"/>
        </w:rPr>
        <w:t> confusion about whether or not a public body received the required written notice, an individual might mail the notice to one or</w:t>
      </w:r>
      <w:r>
        <w:rPr>
          <w:color w:val="231F20"/>
        </w:rPr>
        <w:t> more</w:t>
      </w:r>
      <w:r>
        <w:rPr>
          <w:color w:val="231F20"/>
        </w:rPr>
        <w:t> members of the public body, or to other officials representing the public body who can reasonably be expected to alert the public body about the claim. It is only after the public body denies the allegation or fails to act on the alleged violation within fifteen days of receiving the written notice that an individual may go to district court to file legal action.</w:t>
      </w:r>
    </w:p>
    <w:p>
      <w:pPr>
        <w:pStyle w:val="BodyText"/>
      </w:pPr>
    </w:p>
    <w:p>
      <w:pPr>
        <w:spacing w:before="0"/>
        <w:ind w:left="465" w:right="0" w:firstLine="0"/>
        <w:jc w:val="both"/>
        <w:rPr>
          <w:i/>
          <w:sz w:val="24"/>
        </w:rPr>
      </w:pPr>
      <w:bookmarkStart w:name="Example 87:" w:id="241"/>
      <w:bookmarkEnd w:id="241"/>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87:</w:t>
      </w:r>
    </w:p>
    <w:p>
      <w:pPr>
        <w:spacing w:after="0"/>
        <w:jc w:val="both"/>
        <w:rPr>
          <w:sz w:val="24"/>
        </w:rPr>
        <w:sectPr>
          <w:type w:val="continuous"/>
          <w:pgSz w:w="12240" w:h="15840"/>
          <w:pgMar w:header="660" w:footer="484" w:top="480" w:bottom="280" w:left="360" w:right="240"/>
          <w:cols w:num="2" w:equalWidth="0">
            <w:col w:w="5447" w:space="435"/>
            <w:col w:w="5758"/>
          </w:cols>
        </w:sectPr>
      </w:pPr>
    </w:p>
    <w:p>
      <w:pPr>
        <w:pStyle w:val="BodyText"/>
        <w:spacing w:before="2"/>
        <w:rPr>
          <w:i/>
          <w:sz w:val="16"/>
        </w:rPr>
      </w:pPr>
    </w:p>
    <w:p>
      <w:pPr>
        <w:spacing w:after="0"/>
        <w:rPr>
          <w:sz w:val="16"/>
        </w:rPr>
        <w:sectPr>
          <w:type w:val="continuous"/>
          <w:pgSz w:w="12240" w:h="15840"/>
          <w:pgMar w:header="660" w:footer="484" w:top="480" w:bottom="280" w:left="360" w:right="240"/>
        </w:sectPr>
      </w:pPr>
    </w:p>
    <w:p>
      <w:pPr>
        <w:spacing w:line="240" w:lineRule="auto" w:before="90"/>
        <w:ind w:left="475" w:right="39" w:hanging="10"/>
        <w:jc w:val="both"/>
        <w:rPr>
          <w:i/>
          <w:sz w:val="24"/>
        </w:rPr>
      </w:pPr>
      <w:r>
        <w:rPr>
          <w:i/>
          <w:color w:val="231F20"/>
          <w:sz w:val="24"/>
        </w:rPr>
        <w:t>Two members of a local school board want to</w:t>
      </w:r>
      <w:r>
        <w:rPr>
          <w:i/>
          <w:color w:val="231F20"/>
          <w:sz w:val="24"/>
        </w:rPr>
        <w:t> replace the superintendent and three members want</w:t>
      </w:r>
      <w:r>
        <w:rPr>
          <w:i/>
          <w:color w:val="231F20"/>
          <w:spacing w:val="-3"/>
          <w:sz w:val="24"/>
        </w:rPr>
        <w:t> </w:t>
      </w:r>
      <w:r>
        <w:rPr>
          <w:i/>
          <w:color w:val="231F20"/>
          <w:sz w:val="24"/>
        </w:rPr>
        <w:t>to</w:t>
      </w:r>
      <w:r>
        <w:rPr>
          <w:i/>
          <w:color w:val="231F20"/>
          <w:spacing w:val="-3"/>
          <w:sz w:val="24"/>
        </w:rPr>
        <w:t> </w:t>
      </w:r>
      <w:r>
        <w:rPr>
          <w:i/>
          <w:color w:val="231F20"/>
          <w:sz w:val="24"/>
        </w:rPr>
        <w:t>retain</w:t>
      </w:r>
      <w:r>
        <w:rPr>
          <w:i/>
          <w:color w:val="231F20"/>
          <w:spacing w:val="-3"/>
          <w:sz w:val="24"/>
        </w:rPr>
        <w:t> </w:t>
      </w:r>
      <w:r>
        <w:rPr>
          <w:i/>
          <w:color w:val="231F20"/>
          <w:sz w:val="24"/>
        </w:rPr>
        <w:t>him.</w:t>
      </w:r>
      <w:r>
        <w:rPr>
          <w:i/>
          <w:color w:val="231F20"/>
          <w:spacing w:val="-3"/>
          <w:sz w:val="24"/>
        </w:rPr>
        <w:t> </w:t>
      </w:r>
      <w:r>
        <w:rPr>
          <w:i/>
          <w:color w:val="231F20"/>
          <w:sz w:val="24"/>
        </w:rPr>
        <w:t>The</w:t>
      </w:r>
      <w:r>
        <w:rPr>
          <w:i/>
          <w:color w:val="231F20"/>
          <w:spacing w:val="-4"/>
          <w:sz w:val="24"/>
        </w:rPr>
        <w:t> </w:t>
      </w:r>
      <w:r>
        <w:rPr>
          <w:i/>
          <w:color w:val="231F20"/>
          <w:sz w:val="24"/>
        </w:rPr>
        <w:t>board</w:t>
      </w:r>
      <w:r>
        <w:rPr>
          <w:i/>
          <w:color w:val="231F20"/>
          <w:spacing w:val="-3"/>
          <w:sz w:val="24"/>
        </w:rPr>
        <w:t> </w:t>
      </w:r>
      <w:r>
        <w:rPr>
          <w:i/>
          <w:color w:val="231F20"/>
          <w:sz w:val="24"/>
        </w:rPr>
        <w:t>members</w:t>
      </w:r>
      <w:r>
        <w:rPr>
          <w:i/>
          <w:color w:val="231F20"/>
          <w:spacing w:val="-3"/>
          <w:sz w:val="24"/>
        </w:rPr>
        <w:t> </w:t>
      </w:r>
      <w:r>
        <w:rPr>
          <w:i/>
          <w:color w:val="231F20"/>
          <w:sz w:val="24"/>
        </w:rPr>
        <w:t>discuss</w:t>
      </w:r>
      <w:r>
        <w:rPr>
          <w:i/>
          <w:color w:val="231F20"/>
          <w:spacing w:val="-3"/>
          <w:sz w:val="24"/>
        </w:rPr>
        <w:t> </w:t>
      </w:r>
      <w:r>
        <w:rPr>
          <w:i/>
          <w:color w:val="231F20"/>
          <w:sz w:val="24"/>
        </w:rPr>
        <w:t>the question of the superintendent’s contract in a properly called closed session and the final action to renew the superintendent’s contract is taken by vote in open session. The two dissenting members now want to invalidate the renewal, and report a violation of the Act alleging that the other three members discussed budgetary matters as well as the superintendent’s contract in closed session. They demand an investigation by the Attorney General. If it turns out that the budgetary matters discussed necessarily related to the superintendent’s contract, the Attorney General would not involve his Office in this manner to participate in a dispute between factions of a </w:t>
      </w:r>
      <w:r>
        <w:rPr>
          <w:i/>
          <w:color w:val="231F20"/>
          <w:spacing w:val="-2"/>
          <w:sz w:val="24"/>
        </w:rPr>
        <w:t>board.</w:t>
      </w:r>
    </w:p>
    <w:p>
      <w:pPr>
        <w:pStyle w:val="BodyText"/>
        <w:spacing w:before="9"/>
        <w:rPr>
          <w:i/>
          <w:sz w:val="23"/>
        </w:rPr>
      </w:pPr>
    </w:p>
    <w:p>
      <w:pPr>
        <w:pStyle w:val="BodyText"/>
        <w:ind w:left="465"/>
      </w:pPr>
      <w:bookmarkStart w:name="Commentary" w:id="242"/>
      <w:bookmarkEnd w:id="242"/>
      <w:r>
        <w:rPr/>
      </w:r>
      <w:r>
        <w:rPr>
          <w:color w:val="231F20"/>
          <w:spacing w:val="-2"/>
          <w:u w:val="single" w:color="231F20"/>
        </w:rPr>
        <w:t>Commentary</w:t>
      </w:r>
    </w:p>
    <w:p>
      <w:pPr>
        <w:pStyle w:val="BodyText"/>
      </w:pPr>
    </w:p>
    <w:p>
      <w:pPr>
        <w:pStyle w:val="BodyText"/>
        <w:ind w:left="475" w:right="38" w:hanging="10"/>
        <w:jc w:val="both"/>
      </w:pPr>
      <w:r>
        <w:rPr>
          <w:color w:val="231F20"/>
        </w:rPr>
        <w:t>As an alternative to seeking a legal remedy</w:t>
      </w:r>
      <w:r>
        <w:rPr>
          <w:color w:val="231F20"/>
          <w:spacing w:val="80"/>
        </w:rPr>
        <w:t> </w:t>
      </w:r>
      <w:r>
        <w:rPr>
          <w:color w:val="231F20"/>
        </w:rPr>
        <w:t>through the Attorney General or district attorneys, Section 10-15-3(B) of the Act permits any individual to apply for enforcement in the district court. Before an individual initiates a lawsuit against a public body for a violation of the Act:</w:t>
      </w:r>
    </w:p>
    <w:p>
      <w:pPr>
        <w:spacing w:line="240" w:lineRule="auto" w:before="90"/>
        <w:ind w:left="475" w:right="349" w:hanging="10"/>
        <w:jc w:val="both"/>
        <w:rPr>
          <w:i/>
          <w:sz w:val="24"/>
        </w:rPr>
      </w:pPr>
      <w:r>
        <w:rPr/>
        <w:br w:type="column"/>
      </w:r>
      <w:r>
        <w:rPr>
          <w:i/>
          <w:color w:val="231F20"/>
          <w:sz w:val="24"/>
        </w:rPr>
        <w:t>A</w:t>
      </w:r>
      <w:r>
        <w:rPr>
          <w:i/>
          <w:color w:val="231F20"/>
          <w:spacing w:val="-2"/>
          <w:sz w:val="24"/>
        </w:rPr>
        <w:t> </w:t>
      </w:r>
      <w:r>
        <w:rPr>
          <w:i/>
          <w:color w:val="231F20"/>
          <w:sz w:val="24"/>
        </w:rPr>
        <w:t>county</w:t>
      </w:r>
      <w:r>
        <w:rPr>
          <w:i/>
          <w:color w:val="231F20"/>
          <w:spacing w:val="-1"/>
          <w:sz w:val="24"/>
        </w:rPr>
        <w:t> </w:t>
      </w:r>
      <w:r>
        <w:rPr>
          <w:i/>
          <w:color w:val="231F20"/>
          <w:sz w:val="24"/>
        </w:rPr>
        <w:t>citizen</w:t>
      </w:r>
      <w:r>
        <w:rPr>
          <w:i/>
          <w:color w:val="231F20"/>
          <w:spacing w:val="-2"/>
          <w:sz w:val="24"/>
        </w:rPr>
        <w:t> </w:t>
      </w:r>
      <w:r>
        <w:rPr>
          <w:i/>
          <w:color w:val="231F20"/>
          <w:sz w:val="24"/>
        </w:rPr>
        <w:t>writes</w:t>
      </w:r>
      <w:r>
        <w:rPr>
          <w:i/>
          <w:color w:val="231F20"/>
          <w:spacing w:val="-2"/>
          <w:sz w:val="24"/>
        </w:rPr>
        <w:t> </w:t>
      </w:r>
      <w:r>
        <w:rPr>
          <w:i/>
          <w:color w:val="231F20"/>
          <w:sz w:val="24"/>
        </w:rPr>
        <w:t>to</w:t>
      </w:r>
      <w:r>
        <w:rPr>
          <w:i/>
          <w:color w:val="231F20"/>
          <w:spacing w:val="-2"/>
          <w:sz w:val="24"/>
        </w:rPr>
        <w:t> </w:t>
      </w:r>
      <w:r>
        <w:rPr>
          <w:i/>
          <w:color w:val="231F20"/>
          <w:sz w:val="24"/>
        </w:rPr>
        <w:t>the</w:t>
      </w:r>
      <w:r>
        <w:rPr>
          <w:i/>
          <w:color w:val="231F20"/>
          <w:spacing w:val="-2"/>
          <w:sz w:val="24"/>
        </w:rPr>
        <w:t> </w:t>
      </w:r>
      <w:r>
        <w:rPr>
          <w:i/>
          <w:color w:val="231F20"/>
          <w:sz w:val="24"/>
        </w:rPr>
        <w:t>Office</w:t>
      </w:r>
      <w:r>
        <w:rPr>
          <w:i/>
          <w:color w:val="231F20"/>
          <w:spacing w:val="-2"/>
          <w:sz w:val="24"/>
        </w:rPr>
        <w:t> </w:t>
      </w:r>
      <w:r>
        <w:rPr>
          <w:i/>
          <w:color w:val="231F20"/>
          <w:sz w:val="24"/>
        </w:rPr>
        <w:t>of</w:t>
      </w:r>
      <w:r>
        <w:rPr>
          <w:i/>
          <w:color w:val="231F20"/>
          <w:spacing w:val="-2"/>
          <w:sz w:val="24"/>
        </w:rPr>
        <w:t> </w:t>
      </w:r>
      <w:r>
        <w:rPr>
          <w:i/>
          <w:color w:val="231F20"/>
          <w:sz w:val="24"/>
        </w:rPr>
        <w:t>the</w:t>
      </w:r>
      <w:r>
        <w:rPr>
          <w:i/>
          <w:color w:val="231F20"/>
          <w:spacing w:val="-1"/>
          <w:sz w:val="24"/>
        </w:rPr>
        <w:t> </w:t>
      </w:r>
      <w:r>
        <w:rPr>
          <w:i/>
          <w:color w:val="231F20"/>
          <w:sz w:val="24"/>
        </w:rPr>
        <w:t>Attorney</w:t>
      </w:r>
      <w:r>
        <w:rPr>
          <w:i/>
          <w:color w:val="231F20"/>
          <w:sz w:val="24"/>
        </w:rPr>
        <w:t> General complaining that the county commission violated the Act by holding a secret meeting to discuss economic development within the county. In her complaint, the citizen states that she discussed the violation with the county manager in a telephone conversation. Two days after writing</w:t>
      </w:r>
      <w:r>
        <w:rPr>
          <w:i/>
          <w:color w:val="231F20"/>
          <w:spacing w:val="40"/>
          <w:sz w:val="24"/>
        </w:rPr>
        <w:t> </w:t>
      </w:r>
      <w:r>
        <w:rPr>
          <w:i/>
          <w:color w:val="231F20"/>
          <w:sz w:val="24"/>
        </w:rPr>
        <w:t>to the Office of the Attorney General, the citizen files a lawsuit in district court against the county commission based on the same claimed violation. The lawsuit is not proper unless, prior to filing it, the citizen also gave the county commission</w:t>
      </w:r>
      <w:r>
        <w:rPr>
          <w:i/>
          <w:color w:val="231F20"/>
          <w:spacing w:val="40"/>
          <w:sz w:val="24"/>
        </w:rPr>
        <w:t> </w:t>
      </w:r>
      <w:r>
        <w:rPr>
          <w:i/>
          <w:color w:val="231F20"/>
          <w:sz w:val="24"/>
        </w:rPr>
        <w:t>written notice of the claimed violation and the county commission denied or failed to address the violation within fifteen days of receiving the</w:t>
      </w:r>
      <w:r>
        <w:rPr>
          <w:i/>
          <w:color w:val="231F20"/>
          <w:spacing w:val="80"/>
          <w:sz w:val="24"/>
        </w:rPr>
        <w:t> </w:t>
      </w:r>
      <w:r>
        <w:rPr>
          <w:i/>
          <w:color w:val="231F20"/>
          <w:sz w:val="24"/>
        </w:rPr>
        <w:t>notice. The notice to the county manager would</w:t>
      </w:r>
      <w:r>
        <w:rPr>
          <w:i/>
          <w:color w:val="231F20"/>
          <w:spacing w:val="40"/>
          <w:sz w:val="24"/>
        </w:rPr>
        <w:t> </w:t>
      </w:r>
      <w:r>
        <w:rPr>
          <w:i/>
          <w:color w:val="231F20"/>
          <w:sz w:val="24"/>
        </w:rPr>
        <w:t>not be considered sufficient to meet the requirements of the Act because it was verbal rather than written.</w:t>
      </w:r>
    </w:p>
    <w:p>
      <w:pPr>
        <w:pStyle w:val="BodyText"/>
        <w:spacing w:before="9"/>
        <w:rPr>
          <w:i/>
          <w:sz w:val="23"/>
        </w:rPr>
      </w:pPr>
    </w:p>
    <w:p>
      <w:pPr>
        <w:pStyle w:val="BodyText"/>
        <w:ind w:left="465"/>
      </w:pPr>
      <w:bookmarkStart w:name="Commentary" w:id="243"/>
      <w:bookmarkEnd w:id="243"/>
      <w:r>
        <w:rPr/>
      </w:r>
      <w:r>
        <w:rPr>
          <w:color w:val="231F20"/>
          <w:spacing w:val="-2"/>
          <w:u w:val="single" w:color="231F20"/>
        </w:rPr>
        <w:t>Commentary</w:t>
      </w:r>
    </w:p>
    <w:p>
      <w:pPr>
        <w:pStyle w:val="BodyText"/>
      </w:pPr>
    </w:p>
    <w:p>
      <w:pPr>
        <w:pStyle w:val="BodyText"/>
        <w:ind w:left="475" w:right="350" w:hanging="10"/>
        <w:jc w:val="both"/>
      </w:pPr>
      <w:r>
        <w:rPr>
          <w:color w:val="231F20"/>
        </w:rPr>
        <w:t>A public body that receives written</w:t>
      </w:r>
      <w:r>
        <w:rPr>
          <w:color w:val="231F20"/>
        </w:rPr>
        <w:t> notice</w:t>
      </w:r>
      <w:r>
        <w:rPr>
          <w:color w:val="231F20"/>
        </w:rPr>
        <w:t> of</w:t>
      </w:r>
      <w:r>
        <w:rPr>
          <w:color w:val="231F20"/>
        </w:rPr>
        <w:t> a claimed violation has fifteen days from the day it receives the notice to cure the violation if the public</w:t>
      </w:r>
      <w:r>
        <w:rPr>
          <w:color w:val="231F20"/>
          <w:spacing w:val="-2"/>
        </w:rPr>
        <w:t> </w:t>
      </w:r>
      <w:r>
        <w:rPr>
          <w:color w:val="231F20"/>
        </w:rPr>
        <w:t>body</w:t>
      </w:r>
      <w:r>
        <w:rPr>
          <w:color w:val="231F20"/>
          <w:spacing w:val="-3"/>
        </w:rPr>
        <w:t> </w:t>
      </w:r>
      <w:r>
        <w:rPr>
          <w:color w:val="231F20"/>
        </w:rPr>
        <w:t>decides</w:t>
      </w:r>
      <w:r>
        <w:rPr>
          <w:color w:val="231F20"/>
          <w:spacing w:val="-1"/>
        </w:rPr>
        <w:t> </w:t>
      </w:r>
      <w:r>
        <w:rPr>
          <w:color w:val="231F20"/>
        </w:rPr>
        <w:t>the claim</w:t>
      </w:r>
      <w:r>
        <w:rPr>
          <w:color w:val="231F20"/>
          <w:spacing w:val="-1"/>
        </w:rPr>
        <w:t> </w:t>
      </w:r>
      <w:r>
        <w:rPr>
          <w:color w:val="231F20"/>
        </w:rPr>
        <w:t>is valid</w:t>
      </w:r>
      <w:r>
        <w:rPr>
          <w:color w:val="231F20"/>
          <w:spacing w:val="-1"/>
        </w:rPr>
        <w:t> </w:t>
      </w:r>
      <w:r>
        <w:rPr>
          <w:color w:val="231F20"/>
        </w:rPr>
        <w:t>and wants</w:t>
      </w:r>
      <w:r>
        <w:rPr>
          <w:color w:val="231F20"/>
          <w:spacing w:val="-1"/>
        </w:rPr>
        <w:t> </w:t>
      </w:r>
      <w:r>
        <w:rPr>
          <w:color w:val="231F20"/>
        </w:rPr>
        <w:t>to avoid</w:t>
      </w:r>
      <w:r>
        <w:rPr>
          <w:color w:val="231F20"/>
          <w:spacing w:val="26"/>
        </w:rPr>
        <w:t> </w:t>
      </w:r>
      <w:r>
        <w:rPr>
          <w:color w:val="231F20"/>
        </w:rPr>
        <w:t>a</w:t>
      </w:r>
      <w:r>
        <w:rPr>
          <w:color w:val="231F20"/>
          <w:spacing w:val="26"/>
        </w:rPr>
        <w:t> </w:t>
      </w:r>
      <w:r>
        <w:rPr>
          <w:color w:val="231F20"/>
        </w:rPr>
        <w:t>lawsuit.</w:t>
      </w:r>
      <w:r>
        <w:rPr>
          <w:color w:val="231F20"/>
          <w:spacing w:val="26"/>
        </w:rPr>
        <w:t> </w:t>
      </w:r>
      <w:r>
        <w:rPr>
          <w:color w:val="231F20"/>
        </w:rPr>
        <w:t>At</w:t>
      </w:r>
      <w:r>
        <w:rPr>
          <w:color w:val="231F20"/>
          <w:spacing w:val="30"/>
        </w:rPr>
        <w:t> </w:t>
      </w:r>
      <w:r>
        <w:rPr>
          <w:color w:val="231F20"/>
        </w:rPr>
        <w:t>a</w:t>
      </w:r>
      <w:r>
        <w:rPr>
          <w:color w:val="231F20"/>
          <w:spacing w:val="26"/>
        </w:rPr>
        <w:t> </w:t>
      </w:r>
      <w:r>
        <w:rPr>
          <w:color w:val="231F20"/>
        </w:rPr>
        <w:t>meeting</w:t>
      </w:r>
      <w:r>
        <w:rPr>
          <w:color w:val="231F20"/>
          <w:spacing w:val="26"/>
        </w:rPr>
        <w:t> </w:t>
      </w:r>
      <w:r>
        <w:rPr>
          <w:color w:val="231F20"/>
        </w:rPr>
        <w:t>held</w:t>
      </w:r>
      <w:r>
        <w:rPr>
          <w:color w:val="231F20"/>
          <w:spacing w:val="27"/>
        </w:rPr>
        <w:t> </w:t>
      </w:r>
      <w:r>
        <w:rPr>
          <w:color w:val="231F20"/>
        </w:rPr>
        <w:t>to</w:t>
      </w:r>
      <w:r>
        <w:rPr>
          <w:color w:val="231F20"/>
          <w:spacing w:val="27"/>
        </w:rPr>
        <w:t> </w:t>
      </w:r>
      <w:r>
        <w:rPr>
          <w:color w:val="231F20"/>
        </w:rPr>
        <w:t>address</w:t>
      </w:r>
      <w:r>
        <w:rPr>
          <w:color w:val="231F20"/>
          <w:spacing w:val="27"/>
        </w:rPr>
        <w:t> </w:t>
      </w:r>
      <w:r>
        <w:rPr>
          <w:color w:val="231F20"/>
          <w:spacing w:val="-5"/>
        </w:rPr>
        <w:t>the</w:t>
      </w:r>
    </w:p>
    <w:p>
      <w:pPr>
        <w:spacing w:after="0"/>
        <w:jc w:val="both"/>
        <w:sectPr>
          <w:type w:val="continuous"/>
          <w:pgSz w:w="12240" w:h="15840"/>
          <w:pgMar w:header="660" w:footer="484" w:top="480" w:bottom="280" w:left="360" w:right="240"/>
          <w:cols w:num="2" w:equalWidth="0">
            <w:col w:w="5448" w:space="435"/>
            <w:col w:w="5757"/>
          </w:cols>
        </w:sectPr>
      </w:pPr>
    </w:p>
    <w:p>
      <w:pPr>
        <w:pStyle w:val="BodyText"/>
        <w:spacing w:before="8"/>
        <w:rPr>
          <w:sz w:val="15"/>
        </w:rPr>
      </w:pPr>
    </w:p>
    <w:p>
      <w:pPr>
        <w:spacing w:after="0"/>
        <w:rPr>
          <w:sz w:val="15"/>
        </w:rPr>
        <w:sectPr>
          <w:pgSz w:w="12240" w:h="15840"/>
          <w:pgMar w:header="660" w:footer="484" w:top="960" w:bottom="720" w:left="360" w:right="240"/>
        </w:sectPr>
      </w:pPr>
    </w:p>
    <w:p>
      <w:pPr>
        <w:pStyle w:val="BodyText"/>
        <w:spacing w:before="90"/>
        <w:ind w:left="475" w:right="38"/>
        <w:jc w:val="both"/>
      </w:pPr>
      <w:r>
        <w:rPr>
          <w:color w:val="231F20"/>
        </w:rPr>
        <w:t>claimed violation, the public body must include a summary of the comments that were made at the meeting where the violation occurred. This does not mean that the public body must </w:t>
      </w:r>
      <w:r>
        <w:rPr>
          <w:color w:val="231F20"/>
        </w:rPr>
        <w:t>necessarily repeat the entire previous meeting. It only</w:t>
      </w:r>
      <w:r>
        <w:rPr>
          <w:color w:val="231F20"/>
          <w:spacing w:val="-2"/>
        </w:rPr>
        <w:t> </w:t>
      </w:r>
      <w:r>
        <w:rPr>
          <w:color w:val="231F20"/>
        </w:rPr>
        <w:t>needs to summarize the portion or portions of the previous meeting that violated the Act.</w:t>
      </w:r>
    </w:p>
    <w:p>
      <w:pPr>
        <w:pStyle w:val="BodyText"/>
      </w:pPr>
    </w:p>
    <w:p>
      <w:pPr>
        <w:spacing w:before="0"/>
        <w:ind w:left="465" w:right="0" w:firstLine="0"/>
        <w:jc w:val="both"/>
        <w:rPr>
          <w:i/>
          <w:sz w:val="24"/>
        </w:rPr>
      </w:pPr>
      <w:bookmarkStart w:name="Example 88:" w:id="244"/>
      <w:bookmarkEnd w:id="244"/>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88:</w:t>
      </w:r>
    </w:p>
    <w:p>
      <w:pPr>
        <w:pStyle w:val="BodyText"/>
        <w:rPr>
          <w:i/>
        </w:rPr>
      </w:pPr>
    </w:p>
    <w:p>
      <w:pPr>
        <w:spacing w:before="0"/>
        <w:ind w:left="475" w:right="39" w:hanging="10"/>
        <w:jc w:val="both"/>
        <w:rPr>
          <w:i/>
          <w:sz w:val="24"/>
        </w:rPr>
      </w:pPr>
      <w:r>
        <w:rPr>
          <w:i/>
          <w:color w:val="231F20"/>
          <w:sz w:val="24"/>
        </w:rPr>
        <w:t>A</w:t>
      </w:r>
      <w:r>
        <w:rPr>
          <w:i/>
          <w:color w:val="231F20"/>
          <w:spacing w:val="-5"/>
          <w:sz w:val="24"/>
        </w:rPr>
        <w:t> </w:t>
      </w:r>
      <w:r>
        <w:rPr>
          <w:i/>
          <w:color w:val="231F20"/>
          <w:sz w:val="24"/>
        </w:rPr>
        <w:t>state</w:t>
      </w:r>
      <w:r>
        <w:rPr>
          <w:i/>
          <w:color w:val="231F20"/>
          <w:spacing w:val="-5"/>
          <w:sz w:val="24"/>
        </w:rPr>
        <w:t> </w:t>
      </w:r>
      <w:r>
        <w:rPr>
          <w:i/>
          <w:color w:val="231F20"/>
          <w:sz w:val="24"/>
        </w:rPr>
        <w:t>licensing</w:t>
      </w:r>
      <w:r>
        <w:rPr>
          <w:i/>
          <w:color w:val="231F20"/>
          <w:spacing w:val="-4"/>
          <w:sz w:val="24"/>
        </w:rPr>
        <w:t> </w:t>
      </w:r>
      <w:r>
        <w:rPr>
          <w:i/>
          <w:color w:val="231F20"/>
          <w:sz w:val="24"/>
        </w:rPr>
        <w:t>board</w:t>
      </w:r>
      <w:r>
        <w:rPr>
          <w:i/>
          <w:color w:val="231F20"/>
          <w:spacing w:val="-4"/>
          <w:sz w:val="24"/>
        </w:rPr>
        <w:t> </w:t>
      </w:r>
      <w:r>
        <w:rPr>
          <w:i/>
          <w:color w:val="231F20"/>
          <w:sz w:val="24"/>
        </w:rPr>
        <w:t>holds</w:t>
      </w:r>
      <w:r>
        <w:rPr>
          <w:i/>
          <w:color w:val="231F20"/>
          <w:spacing w:val="-4"/>
          <w:sz w:val="24"/>
        </w:rPr>
        <w:t> </w:t>
      </w:r>
      <w:r>
        <w:rPr>
          <w:i/>
          <w:color w:val="231F20"/>
          <w:sz w:val="24"/>
        </w:rPr>
        <w:t>its</w:t>
      </w:r>
      <w:r>
        <w:rPr>
          <w:i/>
          <w:color w:val="231F20"/>
          <w:spacing w:val="-4"/>
          <w:sz w:val="24"/>
        </w:rPr>
        <w:t> </w:t>
      </w:r>
      <w:r>
        <w:rPr>
          <w:i/>
          <w:color w:val="231F20"/>
          <w:sz w:val="24"/>
        </w:rPr>
        <w:t>regular</w:t>
      </w:r>
      <w:r>
        <w:rPr>
          <w:i/>
          <w:color w:val="231F20"/>
          <w:spacing w:val="-4"/>
          <w:sz w:val="24"/>
        </w:rPr>
        <w:t> </w:t>
      </w:r>
      <w:r>
        <w:rPr>
          <w:i/>
          <w:color w:val="231F20"/>
          <w:sz w:val="24"/>
        </w:rPr>
        <w:t>meeting</w:t>
      </w:r>
      <w:r>
        <w:rPr>
          <w:i/>
          <w:color w:val="231F20"/>
          <w:spacing w:val="-4"/>
          <w:sz w:val="24"/>
        </w:rPr>
        <w:t> </w:t>
      </w:r>
      <w:r>
        <w:rPr>
          <w:i/>
          <w:color w:val="231F20"/>
          <w:sz w:val="24"/>
        </w:rPr>
        <w:t>in</w:t>
      </w:r>
      <w:r>
        <w:rPr>
          <w:i/>
          <w:color w:val="231F20"/>
          <w:sz w:val="24"/>
        </w:rPr>
        <w:t> May. The meeting is properly noticed and the agenda for the meeting is available to the public seventy-two (72) hours in advance of the meeting. During the meeting, the board votes to award a contract for a hearing officer.</w:t>
      </w:r>
    </w:p>
    <w:p>
      <w:pPr>
        <w:pStyle w:val="BodyText"/>
        <w:rPr>
          <w:i/>
        </w:rPr>
      </w:pPr>
    </w:p>
    <w:p>
      <w:pPr>
        <w:spacing w:before="0"/>
        <w:ind w:left="475" w:right="39" w:hanging="10"/>
        <w:jc w:val="both"/>
        <w:rPr>
          <w:i/>
          <w:sz w:val="24"/>
        </w:rPr>
      </w:pPr>
      <w:r>
        <w:rPr>
          <w:i/>
          <w:color w:val="231F20"/>
          <w:sz w:val="24"/>
        </w:rPr>
        <w:t>A few days later, Mr. Grey writes to the chair of</w:t>
      </w:r>
      <w:r>
        <w:rPr>
          <w:i/>
          <w:color w:val="231F20"/>
          <w:spacing w:val="40"/>
          <w:sz w:val="24"/>
        </w:rPr>
        <w:t> </w:t>
      </w:r>
      <w:r>
        <w:rPr>
          <w:i/>
          <w:color w:val="231F20"/>
          <w:sz w:val="24"/>
        </w:rPr>
        <w:t>the board alleging that the contract award was invalid because it was not listed on the meeting agenda. The chair determines that Mr. Grey is correct and schedules a special meeting of </w:t>
      </w:r>
      <w:r>
        <w:rPr>
          <w:i/>
          <w:color w:val="231F20"/>
          <w:sz w:val="24"/>
        </w:rPr>
        <w:t>the board within fifteen days of receiving Mr. Grey’s letter. Proper notice of the meeting is provided to the public and the contract is listed on the agenda. At the meeting, the board repeats its discussion of the</w:t>
      </w:r>
      <w:r>
        <w:rPr>
          <w:i/>
          <w:color w:val="231F20"/>
          <w:spacing w:val="-5"/>
          <w:sz w:val="24"/>
        </w:rPr>
        <w:t> </w:t>
      </w:r>
      <w:r>
        <w:rPr>
          <w:i/>
          <w:color w:val="231F20"/>
          <w:sz w:val="24"/>
        </w:rPr>
        <w:t>contract</w:t>
      </w:r>
      <w:r>
        <w:rPr>
          <w:i/>
          <w:color w:val="231F20"/>
          <w:spacing w:val="-4"/>
          <w:sz w:val="24"/>
        </w:rPr>
        <w:t> </w:t>
      </w:r>
      <w:r>
        <w:rPr>
          <w:i/>
          <w:color w:val="231F20"/>
          <w:sz w:val="24"/>
        </w:rPr>
        <w:t>and</w:t>
      </w:r>
      <w:r>
        <w:rPr>
          <w:i/>
          <w:color w:val="231F20"/>
          <w:spacing w:val="-4"/>
          <w:sz w:val="24"/>
        </w:rPr>
        <w:t> </w:t>
      </w:r>
      <w:r>
        <w:rPr>
          <w:i/>
          <w:color w:val="231F20"/>
          <w:sz w:val="24"/>
        </w:rPr>
        <w:t>votes</w:t>
      </w:r>
      <w:r>
        <w:rPr>
          <w:i/>
          <w:color w:val="231F20"/>
          <w:spacing w:val="-4"/>
          <w:sz w:val="24"/>
        </w:rPr>
        <w:t> </w:t>
      </w:r>
      <w:r>
        <w:rPr>
          <w:i/>
          <w:color w:val="231F20"/>
          <w:sz w:val="24"/>
        </w:rPr>
        <w:t>again</w:t>
      </w:r>
      <w:r>
        <w:rPr>
          <w:i/>
          <w:color w:val="231F20"/>
          <w:spacing w:val="-4"/>
          <w:sz w:val="24"/>
        </w:rPr>
        <w:t> </w:t>
      </w:r>
      <w:r>
        <w:rPr>
          <w:i/>
          <w:color w:val="231F20"/>
          <w:sz w:val="24"/>
        </w:rPr>
        <w:t>to</w:t>
      </w:r>
      <w:r>
        <w:rPr>
          <w:i/>
          <w:color w:val="231F20"/>
          <w:spacing w:val="-4"/>
          <w:sz w:val="24"/>
        </w:rPr>
        <w:t> </w:t>
      </w:r>
      <w:r>
        <w:rPr>
          <w:i/>
          <w:color w:val="231F20"/>
          <w:sz w:val="24"/>
        </w:rPr>
        <w:t>award</w:t>
      </w:r>
      <w:r>
        <w:rPr>
          <w:i/>
          <w:color w:val="231F20"/>
          <w:spacing w:val="-4"/>
          <w:sz w:val="24"/>
        </w:rPr>
        <w:t> </w:t>
      </w:r>
      <w:r>
        <w:rPr>
          <w:i/>
          <w:color w:val="231F20"/>
          <w:sz w:val="24"/>
        </w:rPr>
        <w:t>the</w:t>
      </w:r>
      <w:r>
        <w:rPr>
          <w:i/>
          <w:color w:val="231F20"/>
          <w:spacing w:val="-5"/>
          <w:sz w:val="24"/>
        </w:rPr>
        <w:t> </w:t>
      </w:r>
      <w:r>
        <w:rPr>
          <w:i/>
          <w:color w:val="231F20"/>
          <w:sz w:val="24"/>
        </w:rPr>
        <w:t>contract. This action cures the board’s previous violation and precludes any further action concerning the violation in district court.</w:t>
      </w:r>
    </w:p>
    <w:p>
      <w:pPr>
        <w:pStyle w:val="BodyText"/>
        <w:rPr>
          <w:i/>
        </w:rPr>
      </w:pPr>
    </w:p>
    <w:p>
      <w:pPr>
        <w:spacing w:before="0"/>
        <w:ind w:left="465" w:right="0" w:firstLine="0"/>
        <w:jc w:val="both"/>
        <w:rPr>
          <w:i/>
          <w:sz w:val="24"/>
        </w:rPr>
      </w:pPr>
      <w:bookmarkStart w:name="Example 89:" w:id="245"/>
      <w:bookmarkEnd w:id="24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89:</w:t>
      </w:r>
    </w:p>
    <w:p>
      <w:pPr>
        <w:pStyle w:val="BodyText"/>
        <w:rPr>
          <w:i/>
        </w:rPr>
      </w:pPr>
    </w:p>
    <w:p>
      <w:pPr>
        <w:spacing w:line="240" w:lineRule="auto" w:before="0"/>
        <w:ind w:left="475" w:right="39" w:hanging="10"/>
        <w:jc w:val="both"/>
        <w:rPr>
          <w:i/>
          <w:sz w:val="24"/>
        </w:rPr>
      </w:pPr>
      <w:r>
        <w:rPr>
          <w:i/>
          <w:color w:val="231F20"/>
          <w:sz w:val="24"/>
        </w:rPr>
        <w:t>A town board of trustees holds a meeting without</w:t>
      </w:r>
      <w:r>
        <w:rPr>
          <w:i/>
          <w:color w:val="231F20"/>
          <w:sz w:val="24"/>
        </w:rPr>
        <w:t> providing any advance notice to the public. A resident of the town notifies the mayor in writing about the violation. Because the board of trustees failed to give prior notice of the meeting, the meeting</w:t>
      </w:r>
      <w:r>
        <w:rPr>
          <w:i/>
          <w:color w:val="231F20"/>
          <w:spacing w:val="-3"/>
          <w:sz w:val="24"/>
        </w:rPr>
        <w:t> </w:t>
      </w:r>
      <w:r>
        <w:rPr>
          <w:i/>
          <w:color w:val="231F20"/>
          <w:sz w:val="24"/>
        </w:rPr>
        <w:t>is</w:t>
      </w:r>
      <w:r>
        <w:rPr>
          <w:i/>
          <w:color w:val="231F20"/>
          <w:spacing w:val="-3"/>
          <w:sz w:val="24"/>
        </w:rPr>
        <w:t> </w:t>
      </w:r>
      <w:r>
        <w:rPr>
          <w:i/>
          <w:color w:val="231F20"/>
          <w:sz w:val="24"/>
        </w:rPr>
        <w:t>invalid</w:t>
      </w:r>
      <w:r>
        <w:rPr>
          <w:i/>
          <w:color w:val="231F20"/>
          <w:spacing w:val="-3"/>
          <w:sz w:val="24"/>
        </w:rPr>
        <w:t> </w:t>
      </w:r>
      <w:r>
        <w:rPr>
          <w:i/>
          <w:color w:val="231F20"/>
          <w:sz w:val="24"/>
        </w:rPr>
        <w:t>and</w:t>
      </w:r>
      <w:r>
        <w:rPr>
          <w:i/>
          <w:color w:val="231F20"/>
          <w:spacing w:val="-1"/>
          <w:sz w:val="24"/>
        </w:rPr>
        <w:t> </w:t>
      </w:r>
      <w:r>
        <w:rPr>
          <w:i/>
          <w:color w:val="231F20"/>
          <w:sz w:val="24"/>
        </w:rPr>
        <w:t>without</w:t>
      </w:r>
      <w:r>
        <w:rPr>
          <w:i/>
          <w:color w:val="231F20"/>
          <w:spacing w:val="-3"/>
          <w:sz w:val="24"/>
        </w:rPr>
        <w:t> </w:t>
      </w:r>
      <w:r>
        <w:rPr>
          <w:i/>
          <w:color w:val="231F20"/>
          <w:sz w:val="24"/>
        </w:rPr>
        <w:t>effect.</w:t>
      </w:r>
      <w:r>
        <w:rPr>
          <w:i/>
          <w:color w:val="231F20"/>
          <w:spacing w:val="-1"/>
          <w:sz w:val="24"/>
        </w:rPr>
        <w:t> </w:t>
      </w:r>
      <w:r>
        <w:rPr>
          <w:i/>
          <w:color w:val="231F20"/>
          <w:sz w:val="24"/>
        </w:rPr>
        <w:t>Within</w:t>
      </w:r>
      <w:r>
        <w:rPr>
          <w:i/>
          <w:color w:val="231F20"/>
          <w:spacing w:val="-3"/>
          <w:sz w:val="24"/>
        </w:rPr>
        <w:t> </w:t>
      </w:r>
      <w:r>
        <w:rPr>
          <w:i/>
          <w:color w:val="231F20"/>
          <w:sz w:val="24"/>
        </w:rPr>
        <w:t>fifteen days after receiving the written notice, the board must, after providing proper notice to the public, convene again, summarize all the comments and proposals made at the previous illegal meeting, and</w:t>
      </w:r>
      <w:r>
        <w:rPr>
          <w:i/>
          <w:color w:val="231F20"/>
          <w:spacing w:val="-2"/>
          <w:sz w:val="24"/>
        </w:rPr>
        <w:t> </w:t>
      </w:r>
      <w:r>
        <w:rPr>
          <w:i/>
          <w:color w:val="231F20"/>
          <w:sz w:val="24"/>
        </w:rPr>
        <w:t>take</w:t>
      </w:r>
      <w:r>
        <w:rPr>
          <w:i/>
          <w:color w:val="231F20"/>
          <w:spacing w:val="-3"/>
          <w:sz w:val="24"/>
        </w:rPr>
        <w:t> </w:t>
      </w:r>
      <w:r>
        <w:rPr>
          <w:i/>
          <w:color w:val="231F20"/>
          <w:sz w:val="24"/>
        </w:rPr>
        <w:t>any</w:t>
      </w:r>
      <w:r>
        <w:rPr>
          <w:i/>
          <w:color w:val="231F20"/>
          <w:spacing w:val="-3"/>
          <w:sz w:val="24"/>
        </w:rPr>
        <w:t> </w:t>
      </w:r>
      <w:r>
        <w:rPr>
          <w:i/>
          <w:color w:val="231F20"/>
          <w:sz w:val="24"/>
        </w:rPr>
        <w:t>action</w:t>
      </w:r>
      <w:r>
        <w:rPr>
          <w:i/>
          <w:color w:val="231F20"/>
          <w:spacing w:val="-2"/>
          <w:sz w:val="24"/>
        </w:rPr>
        <w:t> </w:t>
      </w:r>
      <w:r>
        <w:rPr>
          <w:i/>
          <w:color w:val="231F20"/>
          <w:sz w:val="24"/>
        </w:rPr>
        <w:t>or</w:t>
      </w:r>
      <w:r>
        <w:rPr>
          <w:i/>
          <w:color w:val="231F20"/>
          <w:spacing w:val="-2"/>
          <w:sz w:val="24"/>
        </w:rPr>
        <w:t> </w:t>
      </w:r>
      <w:r>
        <w:rPr>
          <w:i/>
          <w:color w:val="231F20"/>
          <w:sz w:val="24"/>
        </w:rPr>
        <w:t>make</w:t>
      </w:r>
      <w:r>
        <w:rPr>
          <w:i/>
          <w:color w:val="231F20"/>
          <w:spacing w:val="-3"/>
          <w:sz w:val="24"/>
        </w:rPr>
        <w:t> </w:t>
      </w:r>
      <w:r>
        <w:rPr>
          <w:i/>
          <w:color w:val="231F20"/>
          <w:sz w:val="24"/>
        </w:rPr>
        <w:t>any</w:t>
      </w:r>
      <w:r>
        <w:rPr>
          <w:i/>
          <w:color w:val="231F20"/>
          <w:spacing w:val="-3"/>
          <w:sz w:val="24"/>
        </w:rPr>
        <w:t> </w:t>
      </w:r>
      <w:r>
        <w:rPr>
          <w:i/>
          <w:color w:val="231F20"/>
          <w:sz w:val="24"/>
        </w:rPr>
        <w:t>decisions</w:t>
      </w:r>
      <w:r>
        <w:rPr>
          <w:i/>
          <w:color w:val="231F20"/>
          <w:spacing w:val="-2"/>
          <w:sz w:val="24"/>
        </w:rPr>
        <w:t> </w:t>
      </w:r>
      <w:r>
        <w:rPr>
          <w:i/>
          <w:color w:val="231F20"/>
          <w:sz w:val="24"/>
        </w:rPr>
        <w:t>made</w:t>
      </w:r>
      <w:r>
        <w:rPr>
          <w:i/>
          <w:color w:val="231F20"/>
          <w:spacing w:val="-3"/>
          <w:sz w:val="24"/>
        </w:rPr>
        <w:t> </w:t>
      </w:r>
      <w:r>
        <w:rPr>
          <w:i/>
          <w:color w:val="231F20"/>
          <w:sz w:val="24"/>
        </w:rPr>
        <w:t>at the previous meeting over again.</w:t>
      </w:r>
    </w:p>
    <w:p>
      <w:pPr>
        <w:pStyle w:val="BodyText"/>
        <w:spacing w:before="10"/>
        <w:rPr>
          <w:i/>
          <w:sz w:val="23"/>
        </w:rPr>
      </w:pPr>
    </w:p>
    <w:p>
      <w:pPr>
        <w:pStyle w:val="BodyText"/>
        <w:ind w:left="475"/>
      </w:pPr>
      <w:r>
        <w:rPr>
          <w:color w:val="231F20"/>
          <w:spacing w:val="-2"/>
          <w:u w:val="single" w:color="231F20"/>
        </w:rPr>
        <w:t>Commentary</w:t>
      </w:r>
    </w:p>
    <w:p>
      <w:pPr>
        <w:pStyle w:val="BodyText"/>
      </w:pPr>
    </w:p>
    <w:p>
      <w:pPr>
        <w:pStyle w:val="BodyText"/>
        <w:ind w:left="475" w:hanging="10"/>
      </w:pPr>
      <w:r>
        <w:rPr>
          <w:color w:val="231F20"/>
        </w:rPr>
        <w:t>In</w:t>
      </w:r>
      <w:r>
        <w:rPr>
          <w:color w:val="231F20"/>
          <w:spacing w:val="40"/>
        </w:rPr>
        <w:t> </w:t>
      </w:r>
      <w:r>
        <w:rPr>
          <w:color w:val="231F20"/>
        </w:rPr>
        <w:t>some</w:t>
      </w:r>
      <w:r>
        <w:rPr>
          <w:color w:val="231F20"/>
          <w:spacing w:val="40"/>
        </w:rPr>
        <w:t> </w:t>
      </w:r>
      <w:r>
        <w:rPr>
          <w:color w:val="231F20"/>
        </w:rPr>
        <w:t>cases,</w:t>
      </w:r>
      <w:r>
        <w:rPr>
          <w:color w:val="231F20"/>
          <w:spacing w:val="40"/>
        </w:rPr>
        <w:t> </w:t>
      </w:r>
      <w:r>
        <w:rPr>
          <w:color w:val="231F20"/>
        </w:rPr>
        <w:t>a</w:t>
      </w:r>
      <w:r>
        <w:rPr>
          <w:color w:val="231F20"/>
          <w:spacing w:val="40"/>
        </w:rPr>
        <w:t> </w:t>
      </w:r>
      <w:r>
        <w:rPr>
          <w:color w:val="231F20"/>
        </w:rPr>
        <w:t>violation</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Act</w:t>
      </w:r>
      <w:r>
        <w:rPr>
          <w:color w:val="231F20"/>
          <w:spacing w:val="40"/>
        </w:rPr>
        <w:t> </w:t>
      </w:r>
      <w:r>
        <w:rPr>
          <w:color w:val="231F20"/>
        </w:rPr>
        <w:t>cannot</w:t>
      </w:r>
      <w:r>
        <w:rPr>
          <w:color w:val="231F20"/>
          <w:spacing w:val="40"/>
        </w:rPr>
        <w:t> </w:t>
      </w:r>
      <w:r>
        <w:rPr>
          <w:color w:val="231F20"/>
        </w:rPr>
        <w:t>be effectively</w:t>
      </w:r>
      <w:r>
        <w:rPr>
          <w:color w:val="231F20"/>
          <w:spacing w:val="27"/>
        </w:rPr>
        <w:t> </w:t>
      </w:r>
      <w:r>
        <w:rPr>
          <w:color w:val="231F20"/>
        </w:rPr>
        <w:t>addressed</w:t>
      </w:r>
      <w:r>
        <w:rPr>
          <w:color w:val="231F20"/>
          <w:spacing w:val="35"/>
        </w:rPr>
        <w:t> </w:t>
      </w:r>
      <w:r>
        <w:rPr>
          <w:color w:val="231F20"/>
        </w:rPr>
        <w:t>by</w:t>
      </w:r>
      <w:r>
        <w:rPr>
          <w:color w:val="231F20"/>
          <w:spacing w:val="32"/>
        </w:rPr>
        <w:t> </w:t>
      </w:r>
      <w:r>
        <w:rPr>
          <w:color w:val="231F20"/>
        </w:rPr>
        <w:t>repeating</w:t>
      </w:r>
      <w:r>
        <w:rPr>
          <w:color w:val="231F20"/>
          <w:spacing w:val="33"/>
        </w:rPr>
        <w:t> </w:t>
      </w:r>
      <w:r>
        <w:rPr>
          <w:color w:val="231F20"/>
        </w:rPr>
        <w:t>the</w:t>
      </w:r>
      <w:r>
        <w:rPr>
          <w:color w:val="231F20"/>
          <w:spacing w:val="34"/>
        </w:rPr>
        <w:t> </w:t>
      </w:r>
      <w:r>
        <w:rPr>
          <w:color w:val="231F20"/>
        </w:rPr>
        <w:t>action</w:t>
      </w:r>
      <w:r>
        <w:rPr>
          <w:color w:val="231F20"/>
          <w:spacing w:val="35"/>
        </w:rPr>
        <w:t> </w:t>
      </w:r>
      <w:r>
        <w:rPr>
          <w:color w:val="231F20"/>
        </w:rPr>
        <w:t>at</w:t>
      </w:r>
      <w:r>
        <w:rPr>
          <w:color w:val="231F20"/>
          <w:spacing w:val="36"/>
        </w:rPr>
        <w:t> </w:t>
      </w:r>
      <w:r>
        <w:rPr>
          <w:color w:val="231F20"/>
          <w:spacing w:val="-10"/>
        </w:rPr>
        <w:t>a</w:t>
      </w:r>
    </w:p>
    <w:p>
      <w:pPr>
        <w:pStyle w:val="BodyText"/>
        <w:spacing w:before="90"/>
        <w:ind w:left="475" w:right="348"/>
        <w:jc w:val="both"/>
      </w:pPr>
      <w:r>
        <w:rPr/>
        <w:br w:type="column"/>
      </w:r>
      <w:r>
        <w:rPr>
          <w:color w:val="231F20"/>
        </w:rPr>
        <w:t>properly conducted</w:t>
      </w:r>
      <w:r>
        <w:rPr>
          <w:color w:val="231F20"/>
        </w:rPr>
        <w:t> open</w:t>
      </w:r>
      <w:r>
        <w:rPr>
          <w:color w:val="231F20"/>
        </w:rPr>
        <w:t> meeting.</w:t>
      </w:r>
      <w:r>
        <w:rPr>
          <w:color w:val="231F20"/>
        </w:rPr>
        <w:t> In</w:t>
      </w:r>
      <w:r>
        <w:rPr>
          <w:color w:val="231F20"/>
        </w:rPr>
        <w:t> those cases, the requirement for a summary of comments is not </w:t>
      </w:r>
      <w:r>
        <w:rPr>
          <w:color w:val="231F20"/>
          <w:spacing w:val="-2"/>
        </w:rPr>
        <w:t>applicable.</w:t>
      </w:r>
    </w:p>
    <w:p>
      <w:pPr>
        <w:pStyle w:val="BodyText"/>
        <w:spacing w:before="11"/>
        <w:rPr>
          <w:sz w:val="23"/>
        </w:rPr>
      </w:pPr>
    </w:p>
    <w:p>
      <w:pPr>
        <w:spacing w:before="0"/>
        <w:ind w:left="465" w:right="0" w:firstLine="0"/>
        <w:jc w:val="both"/>
        <w:rPr>
          <w:i/>
          <w:sz w:val="24"/>
        </w:rPr>
      </w:pPr>
      <w:bookmarkStart w:name="Example 90:" w:id="246"/>
      <w:bookmarkEnd w:id="246"/>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90:</w:t>
      </w:r>
    </w:p>
    <w:p>
      <w:pPr>
        <w:pStyle w:val="BodyText"/>
        <w:rPr>
          <w:i/>
        </w:rPr>
      </w:pPr>
    </w:p>
    <w:p>
      <w:pPr>
        <w:spacing w:before="0"/>
        <w:ind w:left="475" w:right="350" w:hanging="10"/>
        <w:jc w:val="both"/>
        <w:rPr>
          <w:i/>
          <w:sz w:val="24"/>
        </w:rPr>
      </w:pPr>
      <w:r>
        <w:rPr>
          <w:i/>
          <w:color w:val="231F20"/>
          <w:sz w:val="24"/>
        </w:rPr>
        <w:t>Ms. Rose writes to the chair of the county</w:t>
      </w:r>
      <w:r>
        <w:rPr>
          <w:i/>
          <w:color w:val="231F20"/>
          <w:sz w:val="24"/>
        </w:rPr>
        <w:t> commission alleging the commission violated the Act because it did not approve the minutes for its May</w:t>
      </w:r>
      <w:r>
        <w:rPr>
          <w:i/>
          <w:color w:val="231F20"/>
          <w:sz w:val="24"/>
        </w:rPr>
        <w:t> meeting at the next meeting of a quorum as required by Section 10-15-1(G)</w:t>
      </w:r>
      <w:r>
        <w:rPr>
          <w:i/>
          <w:color w:val="231F20"/>
          <w:sz w:val="24"/>
        </w:rPr>
        <w:t> of</w:t>
      </w:r>
      <w:r>
        <w:rPr>
          <w:i/>
          <w:color w:val="231F20"/>
          <w:sz w:val="24"/>
        </w:rPr>
        <w:t> the</w:t>
      </w:r>
      <w:r>
        <w:rPr>
          <w:i/>
          <w:color w:val="231F20"/>
          <w:sz w:val="24"/>
        </w:rPr>
        <w:t> Act.</w:t>
      </w:r>
      <w:r>
        <w:rPr>
          <w:i/>
          <w:color w:val="231F20"/>
          <w:sz w:val="24"/>
        </w:rPr>
        <w:t> The commission holds a meeting within fifteen days after receiving the notification to address the claimed violation. In this case, the commission agrees that it violated the Act, but because the violation did not occur at the May meeting, the commission cannot cure it by re-taking any action or summarizing any discussion. Instead, it agrees that in the future it will use its best efforts to</w:t>
      </w:r>
      <w:r>
        <w:rPr>
          <w:i/>
          <w:color w:val="231F20"/>
          <w:spacing w:val="40"/>
          <w:sz w:val="24"/>
        </w:rPr>
        <w:t> </w:t>
      </w:r>
      <w:r>
        <w:rPr>
          <w:i/>
          <w:color w:val="231F20"/>
          <w:sz w:val="24"/>
        </w:rPr>
        <w:t>ensure that minutes are approved at the next meeting of a quorum. Ms. Rose is satisfied with</w:t>
      </w:r>
      <w:r>
        <w:rPr>
          <w:i/>
          <w:color w:val="231F20"/>
          <w:spacing w:val="40"/>
          <w:sz w:val="24"/>
        </w:rPr>
        <w:t> </w:t>
      </w:r>
      <w:r>
        <w:rPr>
          <w:i/>
          <w:color w:val="231F20"/>
          <w:sz w:val="24"/>
        </w:rPr>
        <w:t>this resolution of her claim.</w:t>
      </w:r>
    </w:p>
    <w:p>
      <w:pPr>
        <w:pStyle w:val="BodyText"/>
        <w:rPr>
          <w:i/>
        </w:rPr>
      </w:pPr>
    </w:p>
    <w:p>
      <w:pPr>
        <w:pStyle w:val="BodyText"/>
        <w:spacing w:before="1"/>
        <w:ind w:left="465"/>
      </w:pPr>
      <w:bookmarkStart w:name="Commentary" w:id="247"/>
      <w:bookmarkEnd w:id="247"/>
      <w:r>
        <w:rPr/>
      </w:r>
      <w:r>
        <w:rPr>
          <w:color w:val="231F20"/>
          <w:spacing w:val="-2"/>
          <w:u w:val="single" w:color="231F20"/>
        </w:rPr>
        <w:t>Commentary</w:t>
      </w:r>
    </w:p>
    <w:p>
      <w:pPr>
        <w:pStyle w:val="BodyText"/>
        <w:spacing w:before="11"/>
        <w:rPr>
          <w:sz w:val="23"/>
        </w:rPr>
      </w:pPr>
    </w:p>
    <w:p>
      <w:pPr>
        <w:pStyle w:val="BodyText"/>
        <w:ind w:left="475" w:right="349" w:hanging="10"/>
        <w:jc w:val="both"/>
      </w:pPr>
      <w:r>
        <w:rPr>
          <w:color w:val="231F20"/>
        </w:rPr>
        <w:t>Because the Attorney General and district</w:t>
      </w:r>
      <w:r>
        <w:rPr>
          <w:color w:val="231F20"/>
          <w:spacing w:val="40"/>
        </w:rPr>
        <w:t> </w:t>
      </w:r>
      <w:r>
        <w:rPr>
          <w:color w:val="231F20"/>
        </w:rPr>
        <w:t>attorneys cannot be everywhere and resources are limited, private individuals who exercise the</w:t>
      </w:r>
      <w:r>
        <w:rPr>
          <w:color w:val="231F20"/>
          <w:spacing w:val="40"/>
        </w:rPr>
        <w:t> </w:t>
      </w:r>
      <w:r>
        <w:rPr>
          <w:color w:val="231F20"/>
        </w:rPr>
        <w:t>option provided under Section 10-15-3(B) of the Act and initiate legal action often will be able to obtain more effective and efficient enforcement of the</w:t>
      </w:r>
      <w:r>
        <w:rPr>
          <w:color w:val="231F20"/>
          <w:spacing w:val="-3"/>
        </w:rPr>
        <w:t> </w:t>
      </w:r>
      <w:r>
        <w:rPr>
          <w:color w:val="231F20"/>
        </w:rPr>
        <w:t>Act.</w:t>
      </w:r>
      <w:r>
        <w:rPr>
          <w:color w:val="231F20"/>
          <w:spacing w:val="-2"/>
        </w:rPr>
        <w:t> </w:t>
      </w:r>
      <w:r>
        <w:rPr>
          <w:color w:val="231F20"/>
        </w:rPr>
        <w:t>However,</w:t>
      </w:r>
      <w:r>
        <w:rPr>
          <w:color w:val="231F20"/>
          <w:spacing w:val="-2"/>
        </w:rPr>
        <w:t> </w:t>
      </w:r>
      <w:r>
        <w:rPr>
          <w:color w:val="231F20"/>
        </w:rPr>
        <w:t>while</w:t>
      </w:r>
      <w:r>
        <w:rPr>
          <w:color w:val="231F20"/>
          <w:spacing w:val="-1"/>
        </w:rPr>
        <w:t> </w:t>
      </w:r>
      <w:r>
        <w:rPr>
          <w:color w:val="231F20"/>
        </w:rPr>
        <w:t>the</w:t>
      </w:r>
      <w:r>
        <w:rPr>
          <w:color w:val="231F20"/>
          <w:spacing w:val="-3"/>
        </w:rPr>
        <w:t> </w:t>
      </w:r>
      <w:r>
        <w:rPr>
          <w:color w:val="231F20"/>
        </w:rPr>
        <w:t>power to</w:t>
      </w:r>
      <w:r>
        <w:rPr>
          <w:color w:val="231F20"/>
          <w:spacing w:val="-2"/>
        </w:rPr>
        <w:t> </w:t>
      </w:r>
      <w:r>
        <w:rPr>
          <w:color w:val="231F20"/>
        </w:rPr>
        <w:t>bring</w:t>
      </w:r>
      <w:r>
        <w:rPr>
          <w:color w:val="231F20"/>
          <w:spacing w:val="-4"/>
        </w:rPr>
        <w:t> </w:t>
      </w:r>
      <w:r>
        <w:rPr>
          <w:color w:val="231F20"/>
        </w:rPr>
        <w:t>private enforcement actions is important, it is not a means to overturn decisions of a public body made in conformity</w:t>
      </w:r>
      <w:r>
        <w:rPr>
          <w:color w:val="231F20"/>
          <w:spacing w:val="-2"/>
        </w:rPr>
        <w:t> </w:t>
      </w:r>
      <w:r>
        <w:rPr>
          <w:color w:val="231F20"/>
        </w:rPr>
        <w:t>with the</w:t>
      </w:r>
      <w:r>
        <w:rPr>
          <w:color w:val="231F20"/>
          <w:spacing w:val="-1"/>
        </w:rPr>
        <w:t> </w:t>
      </w:r>
      <w:r>
        <w:rPr>
          <w:color w:val="231F20"/>
        </w:rPr>
        <w:t>Act, but with which the</w:t>
      </w:r>
      <w:r>
        <w:rPr>
          <w:color w:val="231F20"/>
          <w:spacing w:val="-1"/>
        </w:rPr>
        <w:t> </w:t>
      </w:r>
      <w:r>
        <w:rPr>
          <w:color w:val="231F20"/>
        </w:rPr>
        <w:t>public </w:t>
      </w:r>
      <w:r>
        <w:rPr>
          <w:color w:val="231F20"/>
          <w:spacing w:val="-2"/>
        </w:rPr>
        <w:t>disagrees.</w:t>
      </w:r>
    </w:p>
    <w:p>
      <w:pPr>
        <w:pStyle w:val="BodyText"/>
        <w:spacing w:before="9"/>
        <w:rPr>
          <w:sz w:val="23"/>
        </w:rPr>
      </w:pPr>
    </w:p>
    <w:p>
      <w:pPr>
        <w:spacing w:before="1"/>
        <w:ind w:left="465" w:right="0" w:firstLine="0"/>
        <w:jc w:val="left"/>
        <w:rPr>
          <w:i/>
          <w:sz w:val="24"/>
        </w:rPr>
      </w:pPr>
      <w:bookmarkStart w:name="Example 91:" w:id="248"/>
      <w:bookmarkEnd w:id="248"/>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91:</w:t>
      </w:r>
    </w:p>
    <w:p>
      <w:pPr>
        <w:pStyle w:val="BodyText"/>
        <w:spacing w:before="11"/>
        <w:rPr>
          <w:i/>
          <w:sz w:val="23"/>
        </w:rPr>
      </w:pPr>
    </w:p>
    <w:p>
      <w:pPr>
        <w:spacing w:before="0"/>
        <w:ind w:left="475" w:right="350" w:hanging="10"/>
        <w:jc w:val="both"/>
        <w:rPr>
          <w:i/>
          <w:sz w:val="24"/>
        </w:rPr>
      </w:pPr>
      <w:r>
        <w:rPr>
          <w:i/>
          <w:color w:val="231F20"/>
          <w:sz w:val="24"/>
        </w:rPr>
        <w:t>A local school board meets in closed session to</w:t>
      </w:r>
      <w:r>
        <w:rPr>
          <w:i/>
          <w:color w:val="231F20"/>
          <w:sz w:val="24"/>
        </w:rPr>
        <w:t> discuss retaining Mr. Jones as the superintendent. After</w:t>
      </w:r>
      <w:r>
        <w:rPr>
          <w:i/>
          <w:color w:val="231F20"/>
          <w:spacing w:val="-3"/>
          <w:sz w:val="24"/>
        </w:rPr>
        <w:t> </w:t>
      </w:r>
      <w:r>
        <w:rPr>
          <w:i/>
          <w:color w:val="231F20"/>
          <w:sz w:val="24"/>
        </w:rPr>
        <w:t>this</w:t>
      </w:r>
      <w:r>
        <w:rPr>
          <w:i/>
          <w:color w:val="231F20"/>
          <w:spacing w:val="-3"/>
          <w:sz w:val="24"/>
        </w:rPr>
        <w:t> </w:t>
      </w:r>
      <w:r>
        <w:rPr>
          <w:i/>
          <w:color w:val="231F20"/>
          <w:sz w:val="24"/>
        </w:rPr>
        <w:t>discussion,</w:t>
      </w:r>
      <w:r>
        <w:rPr>
          <w:i/>
          <w:color w:val="231F20"/>
          <w:spacing w:val="-3"/>
          <w:sz w:val="24"/>
        </w:rPr>
        <w:t> </w:t>
      </w:r>
      <w:r>
        <w:rPr>
          <w:i/>
          <w:color w:val="231F20"/>
          <w:sz w:val="24"/>
        </w:rPr>
        <w:t>the</w:t>
      </w:r>
      <w:r>
        <w:rPr>
          <w:i/>
          <w:color w:val="231F20"/>
          <w:spacing w:val="-2"/>
          <w:sz w:val="24"/>
        </w:rPr>
        <w:t> </w:t>
      </w:r>
      <w:r>
        <w:rPr>
          <w:i/>
          <w:color w:val="231F20"/>
          <w:sz w:val="24"/>
        </w:rPr>
        <w:t>board</w:t>
      </w:r>
      <w:r>
        <w:rPr>
          <w:i/>
          <w:color w:val="231F20"/>
          <w:spacing w:val="-3"/>
          <w:sz w:val="24"/>
        </w:rPr>
        <w:t> </w:t>
      </w:r>
      <w:r>
        <w:rPr>
          <w:i/>
          <w:color w:val="231F20"/>
          <w:sz w:val="24"/>
        </w:rPr>
        <w:t>reconvenes</w:t>
      </w:r>
      <w:r>
        <w:rPr>
          <w:i/>
          <w:color w:val="231F20"/>
          <w:spacing w:val="-3"/>
          <w:sz w:val="24"/>
        </w:rPr>
        <w:t> </w:t>
      </w:r>
      <w:r>
        <w:rPr>
          <w:i/>
          <w:color w:val="231F20"/>
          <w:sz w:val="24"/>
        </w:rPr>
        <w:t>in</w:t>
      </w:r>
      <w:r>
        <w:rPr>
          <w:i/>
          <w:color w:val="231F20"/>
          <w:spacing w:val="-1"/>
          <w:sz w:val="24"/>
        </w:rPr>
        <w:t> </w:t>
      </w:r>
      <w:r>
        <w:rPr>
          <w:i/>
          <w:color w:val="231F20"/>
          <w:sz w:val="24"/>
        </w:rPr>
        <w:t>open session and takes final action to hire Mr. Jones at</w:t>
      </w:r>
      <w:r>
        <w:rPr>
          <w:i/>
          <w:color w:val="231F20"/>
          <w:spacing w:val="40"/>
          <w:sz w:val="24"/>
        </w:rPr>
        <w:t> </w:t>
      </w:r>
      <w:r>
        <w:rPr>
          <w:i/>
          <w:color w:val="231F20"/>
          <w:sz w:val="24"/>
        </w:rPr>
        <w:t>a higher salary. Many parents disagree and, after following the procedures specified in Section 10- 15-3(B) of the Act, seek an injunction in district court to stop the contract. As the parents’ complaint does not involve any violation of the</w:t>
      </w:r>
      <w:r>
        <w:rPr>
          <w:i/>
          <w:color w:val="231F20"/>
          <w:spacing w:val="40"/>
          <w:sz w:val="24"/>
        </w:rPr>
        <w:t> </w:t>
      </w:r>
      <w:r>
        <w:rPr>
          <w:i/>
          <w:color w:val="231F20"/>
          <w:sz w:val="24"/>
        </w:rPr>
        <w:t>Act,</w:t>
      </w:r>
      <w:r>
        <w:rPr>
          <w:i/>
          <w:color w:val="231F20"/>
          <w:spacing w:val="2"/>
          <w:sz w:val="24"/>
        </w:rPr>
        <w:t> </w:t>
      </w:r>
      <w:r>
        <w:rPr>
          <w:i/>
          <w:color w:val="231F20"/>
          <w:sz w:val="24"/>
        </w:rPr>
        <w:t>they</w:t>
      </w:r>
      <w:r>
        <w:rPr>
          <w:i/>
          <w:color w:val="231F20"/>
          <w:spacing w:val="2"/>
          <w:sz w:val="24"/>
        </w:rPr>
        <w:t> </w:t>
      </w:r>
      <w:r>
        <w:rPr>
          <w:i/>
          <w:color w:val="231F20"/>
          <w:sz w:val="24"/>
        </w:rPr>
        <w:t>have</w:t>
      </w:r>
      <w:r>
        <w:rPr>
          <w:i/>
          <w:color w:val="231F20"/>
          <w:spacing w:val="1"/>
          <w:sz w:val="24"/>
        </w:rPr>
        <w:t> </w:t>
      </w:r>
      <w:r>
        <w:rPr>
          <w:i/>
          <w:color w:val="231F20"/>
          <w:sz w:val="24"/>
        </w:rPr>
        <w:t>not</w:t>
      </w:r>
      <w:r>
        <w:rPr>
          <w:i/>
          <w:color w:val="231F20"/>
          <w:spacing w:val="6"/>
          <w:sz w:val="24"/>
        </w:rPr>
        <w:t> </w:t>
      </w:r>
      <w:r>
        <w:rPr>
          <w:i/>
          <w:color w:val="231F20"/>
          <w:sz w:val="24"/>
        </w:rPr>
        <w:t>correctly</w:t>
      </w:r>
      <w:r>
        <w:rPr>
          <w:i/>
          <w:color w:val="231F20"/>
          <w:spacing w:val="1"/>
          <w:sz w:val="24"/>
        </w:rPr>
        <w:t> </w:t>
      </w:r>
      <w:r>
        <w:rPr>
          <w:i/>
          <w:color w:val="231F20"/>
          <w:sz w:val="24"/>
        </w:rPr>
        <w:t>applied</w:t>
      </w:r>
      <w:r>
        <w:rPr>
          <w:i/>
          <w:color w:val="231F20"/>
          <w:spacing w:val="3"/>
          <w:sz w:val="24"/>
        </w:rPr>
        <w:t> </w:t>
      </w:r>
      <w:r>
        <w:rPr>
          <w:i/>
          <w:color w:val="231F20"/>
          <w:sz w:val="24"/>
        </w:rPr>
        <w:t>Section</w:t>
      </w:r>
      <w:r>
        <w:rPr>
          <w:i/>
          <w:color w:val="231F20"/>
          <w:spacing w:val="3"/>
          <w:sz w:val="24"/>
        </w:rPr>
        <w:t> </w:t>
      </w:r>
      <w:r>
        <w:rPr>
          <w:i/>
          <w:color w:val="231F20"/>
          <w:sz w:val="24"/>
        </w:rPr>
        <w:t>10-</w:t>
      </w:r>
      <w:r>
        <w:rPr>
          <w:i/>
          <w:color w:val="231F20"/>
          <w:spacing w:val="-5"/>
          <w:sz w:val="24"/>
        </w:rPr>
        <w:t>15-</w:t>
      </w:r>
    </w:p>
    <w:p>
      <w:pPr>
        <w:spacing w:before="0"/>
        <w:ind w:left="475" w:right="0" w:firstLine="0"/>
        <w:jc w:val="both"/>
        <w:rPr>
          <w:i/>
          <w:sz w:val="24"/>
        </w:rPr>
      </w:pPr>
      <w:r>
        <w:rPr>
          <w:i/>
          <w:color w:val="231F20"/>
          <w:sz w:val="24"/>
        </w:rPr>
        <w:t>3(B).</w:t>
      </w:r>
      <w:r>
        <w:rPr>
          <w:i/>
          <w:color w:val="231F20"/>
          <w:spacing w:val="9"/>
          <w:sz w:val="24"/>
        </w:rPr>
        <w:t> </w:t>
      </w:r>
      <w:r>
        <w:rPr>
          <w:i/>
          <w:color w:val="231F20"/>
          <w:sz w:val="24"/>
        </w:rPr>
        <w:t>Therefore,</w:t>
      </w:r>
      <w:r>
        <w:rPr>
          <w:i/>
          <w:color w:val="231F20"/>
          <w:spacing w:val="13"/>
          <w:sz w:val="24"/>
        </w:rPr>
        <w:t> </w:t>
      </w:r>
      <w:r>
        <w:rPr>
          <w:i/>
          <w:color w:val="231F20"/>
          <w:sz w:val="24"/>
        </w:rPr>
        <w:t>the</w:t>
      </w:r>
      <w:r>
        <w:rPr>
          <w:i/>
          <w:color w:val="231F20"/>
          <w:spacing w:val="10"/>
          <w:sz w:val="24"/>
        </w:rPr>
        <w:t> </w:t>
      </w:r>
      <w:r>
        <w:rPr>
          <w:i/>
          <w:color w:val="231F20"/>
          <w:sz w:val="24"/>
        </w:rPr>
        <w:t>court</w:t>
      </w:r>
      <w:r>
        <w:rPr>
          <w:i/>
          <w:color w:val="231F20"/>
          <w:spacing w:val="11"/>
          <w:sz w:val="24"/>
        </w:rPr>
        <w:t> </w:t>
      </w:r>
      <w:r>
        <w:rPr>
          <w:i/>
          <w:color w:val="231F20"/>
          <w:sz w:val="24"/>
        </w:rPr>
        <w:t>rejects</w:t>
      </w:r>
      <w:r>
        <w:rPr>
          <w:i/>
          <w:color w:val="231F20"/>
          <w:spacing w:val="11"/>
          <w:sz w:val="24"/>
        </w:rPr>
        <w:t> </w:t>
      </w:r>
      <w:r>
        <w:rPr>
          <w:i/>
          <w:color w:val="231F20"/>
          <w:sz w:val="24"/>
        </w:rPr>
        <w:t>their</w:t>
      </w:r>
      <w:r>
        <w:rPr>
          <w:i/>
          <w:color w:val="231F20"/>
          <w:spacing w:val="12"/>
          <w:sz w:val="24"/>
        </w:rPr>
        <w:t> </w:t>
      </w:r>
      <w:r>
        <w:rPr>
          <w:i/>
          <w:color w:val="231F20"/>
          <w:spacing w:val="-2"/>
          <w:sz w:val="24"/>
        </w:rPr>
        <w:t>application</w:t>
      </w:r>
    </w:p>
    <w:p>
      <w:pPr>
        <w:spacing w:after="0"/>
        <w:jc w:val="both"/>
        <w:rPr>
          <w:sz w:val="24"/>
        </w:rPr>
        <w:sectPr>
          <w:type w:val="continuous"/>
          <w:pgSz w:w="12240" w:h="15840"/>
          <w:pgMar w:header="660" w:footer="484" w:top="480" w:bottom="280" w:left="360" w:right="240"/>
          <w:cols w:num="2" w:equalWidth="0">
            <w:col w:w="5448" w:space="435"/>
            <w:col w:w="5757"/>
          </w:cols>
        </w:sectPr>
      </w:pPr>
    </w:p>
    <w:p>
      <w:pPr>
        <w:pStyle w:val="BodyText"/>
        <w:spacing w:before="8"/>
        <w:rPr>
          <w:i/>
          <w:sz w:val="15"/>
        </w:rPr>
      </w:pPr>
    </w:p>
    <w:p>
      <w:pPr>
        <w:spacing w:after="0"/>
        <w:rPr>
          <w:sz w:val="15"/>
        </w:rPr>
        <w:sectPr>
          <w:pgSz w:w="12240" w:h="15840"/>
          <w:pgMar w:header="660" w:footer="484" w:top="960" w:bottom="680" w:left="360" w:right="240"/>
        </w:sectPr>
      </w:pPr>
    </w:p>
    <w:p>
      <w:pPr>
        <w:spacing w:before="90"/>
        <w:ind w:left="475" w:right="0" w:firstLine="0"/>
        <w:jc w:val="both"/>
        <w:rPr>
          <w:i/>
          <w:sz w:val="24"/>
        </w:rPr>
      </w:pPr>
      <w:r>
        <w:rPr>
          <w:i/>
          <w:color w:val="231F20"/>
          <w:sz w:val="24"/>
        </w:rPr>
        <w:t>for</w:t>
      </w:r>
      <w:r>
        <w:rPr>
          <w:i/>
          <w:color w:val="231F20"/>
          <w:spacing w:val="-2"/>
          <w:sz w:val="24"/>
        </w:rPr>
        <w:t> </w:t>
      </w:r>
      <w:r>
        <w:rPr>
          <w:i/>
          <w:color w:val="231F20"/>
          <w:sz w:val="24"/>
        </w:rPr>
        <w:t>injunctive</w:t>
      </w:r>
      <w:r>
        <w:rPr>
          <w:i/>
          <w:color w:val="231F20"/>
          <w:spacing w:val="-2"/>
          <w:sz w:val="24"/>
        </w:rPr>
        <w:t> relief.</w:t>
      </w:r>
    </w:p>
    <w:p>
      <w:pPr>
        <w:pStyle w:val="BodyText"/>
        <w:spacing w:before="5"/>
        <w:rPr>
          <w:i/>
        </w:rPr>
      </w:pPr>
    </w:p>
    <w:p>
      <w:pPr>
        <w:pStyle w:val="Heading2"/>
        <w:numPr>
          <w:ilvl w:val="0"/>
          <w:numId w:val="15"/>
        </w:numPr>
        <w:tabs>
          <w:tab w:pos="807" w:val="left" w:leader="none"/>
        </w:tabs>
        <w:spacing w:line="240" w:lineRule="auto" w:before="0" w:after="0"/>
        <w:ind w:left="806" w:right="0" w:hanging="342"/>
        <w:jc w:val="left"/>
      </w:pPr>
      <w:bookmarkStart w:name="_TOC_250002" w:id="249"/>
      <w:bookmarkStart w:name="C. District Court Jurisdiction" w:id="250"/>
      <w:r>
        <w:rPr>
          <w:color w:val="231F20"/>
        </w:rPr>
        <w:t>D</w:t>
      </w:r>
      <w:r>
        <w:rPr>
          <w:color w:val="231F20"/>
        </w:rPr>
        <w:t>istrict</w:t>
      </w:r>
      <w:r>
        <w:rPr>
          <w:color w:val="231F20"/>
          <w:spacing w:val="-4"/>
        </w:rPr>
        <w:t> </w:t>
      </w:r>
      <w:r>
        <w:rPr>
          <w:color w:val="231F20"/>
        </w:rPr>
        <w:t>Court</w:t>
      </w:r>
      <w:r>
        <w:rPr>
          <w:color w:val="231F20"/>
          <w:spacing w:val="-4"/>
        </w:rPr>
        <w:t> </w:t>
      </w:r>
      <w:bookmarkEnd w:id="249"/>
      <w:r>
        <w:rPr>
          <w:color w:val="231F20"/>
          <w:spacing w:val="-2"/>
        </w:rPr>
        <w:t>Jurisdiction</w:t>
      </w:r>
    </w:p>
    <w:p>
      <w:pPr>
        <w:pStyle w:val="BodyText"/>
        <w:spacing w:before="10"/>
        <w:rPr>
          <w:b/>
          <w:sz w:val="23"/>
        </w:rPr>
      </w:pPr>
    </w:p>
    <w:p>
      <w:pPr>
        <w:spacing w:before="1"/>
        <w:ind w:left="465" w:right="0" w:firstLine="0"/>
        <w:jc w:val="both"/>
        <w:rPr>
          <w:b/>
          <w:sz w:val="24"/>
        </w:rPr>
      </w:pPr>
      <w:bookmarkStart w:name="The Law" w:id="251"/>
      <w:bookmarkEnd w:id="251"/>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1"/>
        <w:rPr>
          <w:b/>
          <w:sz w:val="23"/>
        </w:rPr>
      </w:pPr>
    </w:p>
    <w:p>
      <w:pPr>
        <w:spacing w:before="0"/>
        <w:ind w:left="475" w:right="38" w:hanging="10"/>
        <w:jc w:val="both"/>
        <w:rPr>
          <w:b/>
          <w:sz w:val="24"/>
        </w:rPr>
      </w:pPr>
      <w:r>
        <w:rPr>
          <w:b/>
          <w:color w:val="231F20"/>
          <w:sz w:val="24"/>
        </w:rPr>
        <w:t>The district</w:t>
      </w:r>
      <w:r>
        <w:rPr>
          <w:b/>
          <w:color w:val="231F20"/>
          <w:sz w:val="24"/>
        </w:rPr>
        <w:t> courts of this state</w:t>
      </w:r>
      <w:r>
        <w:rPr>
          <w:b/>
          <w:color w:val="231F20"/>
          <w:sz w:val="24"/>
        </w:rPr>
        <w:t> shall have jurisdiction, upon the application of any person to</w:t>
      </w:r>
      <w:r>
        <w:rPr>
          <w:b/>
          <w:color w:val="231F20"/>
          <w:sz w:val="24"/>
        </w:rPr>
        <w:t> enforce</w:t>
      </w:r>
      <w:r>
        <w:rPr>
          <w:b/>
          <w:color w:val="231F20"/>
          <w:sz w:val="24"/>
        </w:rPr>
        <w:t> the purpose of the Open Meetings Act, by injunction, mandamus or other appropriate order. The court shall award costs and reasonable attorney fees to any person who is successful in bringing a court</w:t>
      </w:r>
      <w:r>
        <w:rPr>
          <w:b/>
          <w:color w:val="231F20"/>
          <w:sz w:val="24"/>
        </w:rPr>
        <w:t> action to enforce</w:t>
      </w:r>
      <w:r>
        <w:rPr>
          <w:b/>
          <w:color w:val="231F20"/>
          <w:sz w:val="24"/>
        </w:rPr>
        <w:t> the provisions of the Open Meetings Act. If</w:t>
      </w:r>
      <w:r>
        <w:rPr>
          <w:b/>
          <w:color w:val="231F20"/>
          <w:sz w:val="24"/>
        </w:rPr>
        <w:t> the prevailing party in a legal action brought under this section is a public body defendant, it shall be awarded court</w:t>
      </w:r>
      <w:r>
        <w:rPr>
          <w:b/>
          <w:color w:val="231F20"/>
          <w:sz w:val="24"/>
        </w:rPr>
        <w:t> costs. A public body defendant that</w:t>
      </w:r>
      <w:r>
        <w:rPr>
          <w:b/>
          <w:color w:val="231F20"/>
          <w:sz w:val="24"/>
        </w:rPr>
        <w:t> prevails in a court action brought under this section shall be awarded its reasonable attorney fees from the plaintiff</w:t>
      </w:r>
      <w:r>
        <w:rPr>
          <w:b/>
          <w:color w:val="231F20"/>
          <w:sz w:val="24"/>
        </w:rPr>
        <w:t> if</w:t>
      </w:r>
      <w:r>
        <w:rPr>
          <w:b/>
          <w:color w:val="231F20"/>
          <w:sz w:val="24"/>
        </w:rPr>
        <w:t> the plaintiff</w:t>
      </w:r>
      <w:r>
        <w:rPr>
          <w:b/>
          <w:color w:val="231F20"/>
          <w:sz w:val="24"/>
        </w:rPr>
        <w:t> brought</w:t>
      </w:r>
      <w:r>
        <w:rPr>
          <w:b/>
          <w:color w:val="231F20"/>
          <w:sz w:val="24"/>
        </w:rPr>
        <w:t> the action without sufficient information and belief that good grounds supported it.</w:t>
      </w:r>
    </w:p>
    <w:p>
      <w:pPr>
        <w:pStyle w:val="BodyText"/>
        <w:spacing w:before="7"/>
        <w:rPr>
          <w:b/>
          <w:sz w:val="23"/>
        </w:rPr>
      </w:pPr>
    </w:p>
    <w:p>
      <w:pPr>
        <w:pStyle w:val="BodyText"/>
        <w:ind w:left="465"/>
      </w:pPr>
      <w:bookmarkStart w:name="Commentary" w:id="252"/>
      <w:bookmarkEnd w:id="252"/>
      <w:r>
        <w:rPr/>
      </w:r>
      <w:r>
        <w:rPr>
          <w:color w:val="231F20"/>
          <w:spacing w:val="-2"/>
          <w:u w:val="single" w:color="231F20"/>
        </w:rPr>
        <w:t>Commentary</w:t>
      </w:r>
    </w:p>
    <w:p>
      <w:pPr>
        <w:pStyle w:val="BodyText"/>
      </w:pPr>
    </w:p>
    <w:p>
      <w:pPr>
        <w:pStyle w:val="BodyText"/>
        <w:ind w:left="475" w:right="38" w:hanging="10"/>
        <w:jc w:val="both"/>
      </w:pPr>
      <w:r>
        <w:rPr>
          <w:color w:val="231F20"/>
        </w:rPr>
        <w:t>This Subsection confers jurisdiction on the district courts to hear questions concerning purported violations of the Act. Should a district court determine that a public body’s actions were illegally taken,</w:t>
      </w:r>
      <w:r>
        <w:rPr>
          <w:color w:val="231F20"/>
        </w:rPr>
        <w:t> it</w:t>
      </w:r>
      <w:r>
        <w:rPr>
          <w:color w:val="231F20"/>
        </w:rPr>
        <w:t> may</w:t>
      </w:r>
      <w:r>
        <w:rPr>
          <w:color w:val="231F20"/>
        </w:rPr>
        <w:t> declare</w:t>
      </w:r>
      <w:r>
        <w:rPr>
          <w:color w:val="231F20"/>
        </w:rPr>
        <w:t> them</w:t>
      </w:r>
      <w:r>
        <w:rPr>
          <w:color w:val="231F20"/>
        </w:rPr>
        <w:t> invalid,</w:t>
      </w:r>
      <w:r>
        <w:rPr>
          <w:color w:val="231F20"/>
          <w:spacing w:val="40"/>
        </w:rPr>
        <w:t> </w:t>
      </w:r>
      <w:r>
        <w:rPr>
          <w:color w:val="231F20"/>
        </w:rPr>
        <w:t>thereby</w:t>
      </w:r>
      <w:r>
        <w:rPr>
          <w:color w:val="231F20"/>
        </w:rPr>
        <w:t> overcoming</w:t>
      </w:r>
      <w:r>
        <w:rPr>
          <w:color w:val="231F20"/>
        </w:rPr>
        <w:t> the</w:t>
      </w:r>
      <w:r>
        <w:rPr>
          <w:color w:val="231F20"/>
        </w:rPr>
        <w:t> presumption of validity conferred under Section 10-15-3(A)</w:t>
      </w:r>
      <w:r>
        <w:rPr>
          <w:color w:val="231F20"/>
        </w:rPr>
        <w:t> of</w:t>
      </w:r>
      <w:r>
        <w:rPr>
          <w:color w:val="231F20"/>
        </w:rPr>
        <w:t> the</w:t>
      </w:r>
      <w:r>
        <w:rPr>
          <w:color w:val="231F20"/>
        </w:rPr>
        <w:t> Act.</w:t>
      </w:r>
      <w:r>
        <w:rPr>
          <w:color w:val="231F20"/>
          <w:spacing w:val="40"/>
        </w:rPr>
        <w:t> </w:t>
      </w:r>
      <w:r>
        <w:rPr>
          <w:color w:val="231F20"/>
        </w:rPr>
        <w:t>The court may issue an order enjoining the public body</w:t>
      </w:r>
      <w:r>
        <w:rPr>
          <w:color w:val="231F20"/>
          <w:spacing w:val="-4"/>
        </w:rPr>
        <w:t> </w:t>
      </w:r>
      <w:r>
        <w:rPr>
          <w:color w:val="231F20"/>
        </w:rPr>
        <w:t>from</w:t>
      </w:r>
      <w:r>
        <w:rPr>
          <w:color w:val="231F20"/>
          <w:spacing w:val="-3"/>
        </w:rPr>
        <w:t> </w:t>
      </w:r>
      <w:r>
        <w:rPr>
          <w:color w:val="231F20"/>
        </w:rPr>
        <w:t>implementing</w:t>
      </w:r>
      <w:r>
        <w:rPr>
          <w:color w:val="231F20"/>
          <w:spacing w:val="-3"/>
        </w:rPr>
        <w:t> </w:t>
      </w:r>
      <w:r>
        <w:rPr>
          <w:color w:val="231F20"/>
        </w:rPr>
        <w:t>its</w:t>
      </w:r>
      <w:r>
        <w:rPr>
          <w:color w:val="231F20"/>
          <w:spacing w:val="-3"/>
        </w:rPr>
        <w:t> </w:t>
      </w:r>
      <w:r>
        <w:rPr>
          <w:color w:val="231F20"/>
        </w:rPr>
        <w:t>illegal action,</w:t>
      </w:r>
      <w:r>
        <w:rPr>
          <w:color w:val="231F20"/>
          <w:spacing w:val="-1"/>
        </w:rPr>
        <w:t> </w:t>
      </w:r>
      <w:r>
        <w:rPr>
          <w:color w:val="231F20"/>
        </w:rPr>
        <w:t>an</w:t>
      </w:r>
      <w:r>
        <w:rPr>
          <w:color w:val="231F20"/>
          <w:spacing w:val="-3"/>
        </w:rPr>
        <w:t> </w:t>
      </w:r>
      <w:r>
        <w:rPr>
          <w:color w:val="231F20"/>
        </w:rPr>
        <w:t>order requiring the public body to take action required</w:t>
      </w:r>
      <w:r>
        <w:rPr>
          <w:color w:val="231F20"/>
          <w:spacing w:val="40"/>
        </w:rPr>
        <w:t> </w:t>
      </w:r>
      <w:r>
        <w:rPr>
          <w:color w:val="231F20"/>
        </w:rPr>
        <w:t>by the Act or any other appropriate order.</w:t>
      </w:r>
    </w:p>
    <w:p>
      <w:pPr>
        <w:pStyle w:val="BodyText"/>
      </w:pPr>
    </w:p>
    <w:p>
      <w:pPr>
        <w:spacing w:before="1"/>
        <w:ind w:left="465" w:right="0" w:firstLine="0"/>
        <w:jc w:val="left"/>
        <w:rPr>
          <w:i/>
          <w:sz w:val="24"/>
        </w:rPr>
      </w:pPr>
      <w:bookmarkStart w:name="Example 92:" w:id="253"/>
      <w:bookmarkEnd w:id="253"/>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92:</w:t>
      </w:r>
    </w:p>
    <w:p>
      <w:pPr>
        <w:pStyle w:val="BodyText"/>
        <w:spacing w:before="11"/>
        <w:rPr>
          <w:i/>
          <w:sz w:val="23"/>
        </w:rPr>
      </w:pPr>
    </w:p>
    <w:p>
      <w:pPr>
        <w:spacing w:before="0"/>
        <w:ind w:left="475" w:right="40" w:hanging="10"/>
        <w:jc w:val="both"/>
        <w:rPr>
          <w:i/>
          <w:sz w:val="24"/>
        </w:rPr>
      </w:pPr>
      <w:r>
        <w:rPr>
          <w:i/>
          <w:color w:val="231F20"/>
          <w:sz w:val="24"/>
        </w:rPr>
        <w:t>A city council voted in closed session to sell the</w:t>
      </w:r>
      <w:r>
        <w:rPr>
          <w:i/>
          <w:color w:val="231F20"/>
          <w:sz w:val="24"/>
        </w:rPr>
        <w:t> furnishings of a city-owned building. Twenty (20) days after the city council receives a citizen’s written notice of violation and takes no action to address it, the citizen applies to district court to enjoin the sale because the decision to sell was improperly made in a closed meeting. Only the</w:t>
      </w:r>
      <w:r>
        <w:rPr>
          <w:i/>
          <w:color w:val="231F20"/>
          <w:spacing w:val="40"/>
          <w:sz w:val="24"/>
        </w:rPr>
        <w:t> </w:t>
      </w:r>
      <w:r>
        <w:rPr>
          <w:i/>
          <w:color w:val="231F20"/>
          <w:sz w:val="24"/>
        </w:rPr>
        <w:t>sale of real property may be considered in </w:t>
      </w:r>
      <w:r>
        <w:rPr>
          <w:i/>
          <w:color w:val="231F20"/>
          <w:sz w:val="24"/>
        </w:rPr>
        <w:t>closed session.</w:t>
      </w:r>
      <w:r>
        <w:rPr>
          <w:i/>
          <w:color w:val="231F20"/>
          <w:spacing w:val="-4"/>
          <w:sz w:val="24"/>
        </w:rPr>
        <w:t> </w:t>
      </w:r>
      <w:r>
        <w:rPr>
          <w:i/>
          <w:color w:val="231F20"/>
          <w:sz w:val="24"/>
        </w:rPr>
        <w:t>The</w:t>
      </w:r>
      <w:r>
        <w:rPr>
          <w:i/>
          <w:color w:val="231F20"/>
          <w:spacing w:val="-5"/>
          <w:sz w:val="24"/>
        </w:rPr>
        <w:t> </w:t>
      </w:r>
      <w:r>
        <w:rPr>
          <w:i/>
          <w:color w:val="231F20"/>
          <w:sz w:val="24"/>
        </w:rPr>
        <w:t>court</w:t>
      </w:r>
      <w:r>
        <w:rPr>
          <w:i/>
          <w:color w:val="231F20"/>
          <w:spacing w:val="-4"/>
          <w:sz w:val="24"/>
        </w:rPr>
        <w:t> </w:t>
      </w:r>
      <w:r>
        <w:rPr>
          <w:i/>
          <w:color w:val="231F20"/>
          <w:sz w:val="24"/>
        </w:rPr>
        <w:t>enjoins</w:t>
      </w:r>
      <w:r>
        <w:rPr>
          <w:i/>
          <w:color w:val="231F20"/>
          <w:spacing w:val="-4"/>
          <w:sz w:val="24"/>
        </w:rPr>
        <w:t> </w:t>
      </w:r>
      <w:r>
        <w:rPr>
          <w:i/>
          <w:color w:val="231F20"/>
          <w:sz w:val="24"/>
        </w:rPr>
        <w:t>the</w:t>
      </w:r>
      <w:r>
        <w:rPr>
          <w:i/>
          <w:color w:val="231F20"/>
          <w:spacing w:val="-5"/>
          <w:sz w:val="24"/>
        </w:rPr>
        <w:t> </w:t>
      </w:r>
      <w:r>
        <w:rPr>
          <w:i/>
          <w:color w:val="231F20"/>
          <w:sz w:val="24"/>
        </w:rPr>
        <w:t>sale</w:t>
      </w:r>
      <w:r>
        <w:rPr>
          <w:i/>
          <w:color w:val="231F20"/>
          <w:spacing w:val="-5"/>
          <w:sz w:val="24"/>
        </w:rPr>
        <w:t> </w:t>
      </w:r>
      <w:r>
        <w:rPr>
          <w:i/>
          <w:color w:val="231F20"/>
          <w:sz w:val="24"/>
        </w:rPr>
        <w:t>and</w:t>
      </w:r>
      <w:r>
        <w:rPr>
          <w:i/>
          <w:color w:val="231F20"/>
          <w:spacing w:val="-4"/>
          <w:sz w:val="24"/>
        </w:rPr>
        <w:t> </w:t>
      </w:r>
      <w:r>
        <w:rPr>
          <w:i/>
          <w:color w:val="231F20"/>
          <w:sz w:val="24"/>
        </w:rPr>
        <w:t>the</w:t>
      </w:r>
      <w:r>
        <w:rPr>
          <w:i/>
          <w:color w:val="231F20"/>
          <w:spacing w:val="-5"/>
          <w:sz w:val="24"/>
        </w:rPr>
        <w:t> </w:t>
      </w:r>
      <w:r>
        <w:rPr>
          <w:i/>
          <w:color w:val="231F20"/>
          <w:sz w:val="24"/>
        </w:rPr>
        <w:t>decision of</w:t>
      </w:r>
      <w:r>
        <w:rPr>
          <w:i/>
          <w:color w:val="231F20"/>
          <w:spacing w:val="46"/>
          <w:sz w:val="24"/>
        </w:rPr>
        <w:t> </w:t>
      </w:r>
      <w:r>
        <w:rPr>
          <w:i/>
          <w:color w:val="231F20"/>
          <w:sz w:val="24"/>
        </w:rPr>
        <w:t>the</w:t>
      </w:r>
      <w:r>
        <w:rPr>
          <w:i/>
          <w:color w:val="231F20"/>
          <w:spacing w:val="46"/>
          <w:sz w:val="24"/>
        </w:rPr>
        <w:t> </w:t>
      </w:r>
      <w:r>
        <w:rPr>
          <w:i/>
          <w:color w:val="231F20"/>
          <w:sz w:val="24"/>
        </w:rPr>
        <w:t>city</w:t>
      </w:r>
      <w:r>
        <w:rPr>
          <w:i/>
          <w:color w:val="231F20"/>
          <w:spacing w:val="45"/>
          <w:sz w:val="24"/>
        </w:rPr>
        <w:t> </w:t>
      </w:r>
      <w:r>
        <w:rPr>
          <w:i/>
          <w:color w:val="231F20"/>
          <w:sz w:val="24"/>
        </w:rPr>
        <w:t>council</w:t>
      </w:r>
      <w:r>
        <w:rPr>
          <w:i/>
          <w:color w:val="231F20"/>
          <w:spacing w:val="47"/>
          <w:sz w:val="24"/>
        </w:rPr>
        <w:t> </w:t>
      </w:r>
      <w:r>
        <w:rPr>
          <w:i/>
          <w:color w:val="231F20"/>
          <w:sz w:val="24"/>
        </w:rPr>
        <w:t>is</w:t>
      </w:r>
      <w:r>
        <w:rPr>
          <w:i/>
          <w:color w:val="231F20"/>
          <w:spacing w:val="43"/>
          <w:sz w:val="24"/>
        </w:rPr>
        <w:t> </w:t>
      </w:r>
      <w:r>
        <w:rPr>
          <w:i/>
          <w:color w:val="231F20"/>
          <w:sz w:val="24"/>
        </w:rPr>
        <w:t>nullified.</w:t>
      </w:r>
      <w:r>
        <w:rPr>
          <w:i/>
          <w:color w:val="231F20"/>
          <w:spacing w:val="47"/>
          <w:sz w:val="24"/>
        </w:rPr>
        <w:t> </w:t>
      </w:r>
      <w:r>
        <w:rPr>
          <w:i/>
          <w:color w:val="231F20"/>
          <w:sz w:val="24"/>
        </w:rPr>
        <w:t>The</w:t>
      </w:r>
      <w:r>
        <w:rPr>
          <w:i/>
          <w:color w:val="231F20"/>
          <w:spacing w:val="45"/>
          <w:sz w:val="24"/>
        </w:rPr>
        <w:t> </w:t>
      </w:r>
      <w:r>
        <w:rPr>
          <w:i/>
          <w:color w:val="231F20"/>
          <w:sz w:val="24"/>
        </w:rPr>
        <w:t>council</w:t>
      </w:r>
      <w:r>
        <w:rPr>
          <w:i/>
          <w:color w:val="231F20"/>
          <w:spacing w:val="47"/>
          <w:sz w:val="24"/>
        </w:rPr>
        <w:t> </w:t>
      </w:r>
      <w:r>
        <w:rPr>
          <w:i/>
          <w:color w:val="231F20"/>
          <w:spacing w:val="-4"/>
          <w:sz w:val="24"/>
        </w:rPr>
        <w:t>must</w:t>
      </w:r>
    </w:p>
    <w:p>
      <w:pPr>
        <w:spacing w:before="90"/>
        <w:ind w:left="475" w:right="0" w:firstLine="0"/>
        <w:jc w:val="left"/>
        <w:rPr>
          <w:i/>
          <w:sz w:val="24"/>
        </w:rPr>
      </w:pPr>
      <w:r>
        <w:rPr/>
        <w:br w:type="column"/>
      </w:r>
      <w:r>
        <w:rPr>
          <w:i/>
          <w:color w:val="231F20"/>
          <w:sz w:val="24"/>
        </w:rPr>
        <w:t>reconsider</w:t>
      </w:r>
      <w:r>
        <w:rPr>
          <w:i/>
          <w:color w:val="231F20"/>
          <w:spacing w:val="-2"/>
          <w:sz w:val="24"/>
        </w:rPr>
        <w:t> </w:t>
      </w:r>
      <w:r>
        <w:rPr>
          <w:i/>
          <w:color w:val="231F20"/>
          <w:sz w:val="24"/>
        </w:rPr>
        <w:t>the</w:t>
      </w:r>
      <w:r>
        <w:rPr>
          <w:i/>
          <w:color w:val="231F20"/>
          <w:spacing w:val="-3"/>
          <w:sz w:val="24"/>
        </w:rPr>
        <w:t> </w:t>
      </w:r>
      <w:r>
        <w:rPr>
          <w:i/>
          <w:color w:val="231F20"/>
          <w:sz w:val="24"/>
        </w:rPr>
        <w:t>sale</w:t>
      </w:r>
      <w:r>
        <w:rPr>
          <w:i/>
          <w:color w:val="231F20"/>
          <w:spacing w:val="-3"/>
          <w:sz w:val="24"/>
        </w:rPr>
        <w:t> </w:t>
      </w:r>
      <w:r>
        <w:rPr>
          <w:i/>
          <w:color w:val="231F20"/>
          <w:sz w:val="24"/>
        </w:rPr>
        <w:t>at</w:t>
      </w:r>
      <w:r>
        <w:rPr>
          <w:i/>
          <w:color w:val="231F20"/>
          <w:spacing w:val="-1"/>
          <w:sz w:val="24"/>
        </w:rPr>
        <w:t> </w:t>
      </w:r>
      <w:r>
        <w:rPr>
          <w:i/>
          <w:color w:val="231F20"/>
          <w:sz w:val="24"/>
        </w:rPr>
        <w:t>an open</w:t>
      </w:r>
      <w:r>
        <w:rPr>
          <w:i/>
          <w:color w:val="231F20"/>
          <w:spacing w:val="-2"/>
          <w:sz w:val="24"/>
        </w:rPr>
        <w:t> meeting.</w:t>
      </w:r>
    </w:p>
    <w:p>
      <w:pPr>
        <w:pStyle w:val="BodyText"/>
        <w:spacing w:before="11"/>
        <w:rPr>
          <w:i/>
          <w:sz w:val="23"/>
        </w:rPr>
      </w:pPr>
    </w:p>
    <w:p>
      <w:pPr>
        <w:pStyle w:val="BodyText"/>
        <w:ind w:left="465"/>
      </w:pPr>
      <w:bookmarkStart w:name="Commentary" w:id="254"/>
      <w:bookmarkEnd w:id="254"/>
      <w:r>
        <w:rPr/>
      </w:r>
      <w:r>
        <w:rPr>
          <w:color w:val="231F20"/>
          <w:spacing w:val="-2"/>
          <w:u w:val="single" w:color="231F20"/>
        </w:rPr>
        <w:t>Commentary</w:t>
      </w:r>
    </w:p>
    <w:p>
      <w:pPr>
        <w:pStyle w:val="BodyText"/>
      </w:pPr>
    </w:p>
    <w:p>
      <w:pPr>
        <w:pStyle w:val="BodyText"/>
        <w:ind w:left="475" w:right="351" w:hanging="10"/>
        <w:jc w:val="both"/>
      </w:pPr>
      <w:r>
        <w:rPr>
          <w:color w:val="231F20"/>
        </w:rPr>
        <w:t>This Subsection also provides that a district court shall award individuals who prevail in a court proceeding to enforce the Act their court costs and reasonable attorney fees.</w:t>
      </w:r>
    </w:p>
    <w:p>
      <w:pPr>
        <w:pStyle w:val="BodyText"/>
      </w:pPr>
    </w:p>
    <w:p>
      <w:pPr>
        <w:spacing w:before="0"/>
        <w:ind w:left="465" w:right="0" w:firstLine="0"/>
        <w:jc w:val="both"/>
        <w:rPr>
          <w:i/>
          <w:sz w:val="24"/>
        </w:rPr>
      </w:pPr>
      <w:bookmarkStart w:name="Example 93:" w:id="255"/>
      <w:bookmarkEnd w:id="255"/>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93:</w:t>
      </w:r>
    </w:p>
    <w:p>
      <w:pPr>
        <w:pStyle w:val="BodyText"/>
        <w:rPr>
          <w:i/>
        </w:rPr>
      </w:pPr>
    </w:p>
    <w:p>
      <w:pPr>
        <w:spacing w:before="0"/>
        <w:ind w:left="475" w:right="350" w:hanging="10"/>
        <w:jc w:val="both"/>
        <w:rPr>
          <w:i/>
          <w:sz w:val="24"/>
        </w:rPr>
      </w:pPr>
      <w:r>
        <w:rPr>
          <w:i/>
          <w:color w:val="231F20"/>
          <w:sz w:val="24"/>
        </w:rPr>
        <w:t>Ms. Garcia learns from the president of a local</w:t>
      </w:r>
      <w:r>
        <w:rPr>
          <w:i/>
          <w:color w:val="231F20"/>
          <w:sz w:val="24"/>
        </w:rPr>
        <w:t> construction company that the town council has awarded the company a contract to build a public swimming pool. Ms. Garcia writes to the mayor alleging that the town council violated the Act because</w:t>
      </w:r>
      <w:r>
        <w:rPr>
          <w:i/>
          <w:color w:val="231F20"/>
          <w:spacing w:val="-4"/>
          <w:sz w:val="24"/>
        </w:rPr>
        <w:t> </w:t>
      </w:r>
      <w:r>
        <w:rPr>
          <w:i/>
          <w:color w:val="231F20"/>
          <w:sz w:val="24"/>
        </w:rPr>
        <w:t>it</w:t>
      </w:r>
      <w:r>
        <w:rPr>
          <w:i/>
          <w:color w:val="231F20"/>
          <w:spacing w:val="-3"/>
          <w:sz w:val="24"/>
        </w:rPr>
        <w:t> </w:t>
      </w:r>
      <w:r>
        <w:rPr>
          <w:i/>
          <w:color w:val="231F20"/>
          <w:sz w:val="24"/>
        </w:rPr>
        <w:t>awarded</w:t>
      </w:r>
      <w:r>
        <w:rPr>
          <w:i/>
          <w:color w:val="231F20"/>
          <w:spacing w:val="-3"/>
          <w:sz w:val="24"/>
        </w:rPr>
        <w:t> </w:t>
      </w:r>
      <w:r>
        <w:rPr>
          <w:i/>
          <w:color w:val="231F20"/>
          <w:sz w:val="24"/>
        </w:rPr>
        <w:t>the</w:t>
      </w:r>
      <w:r>
        <w:rPr>
          <w:i/>
          <w:color w:val="231F20"/>
          <w:spacing w:val="-4"/>
          <w:sz w:val="24"/>
        </w:rPr>
        <w:t> </w:t>
      </w:r>
      <w:r>
        <w:rPr>
          <w:i/>
          <w:color w:val="231F20"/>
          <w:sz w:val="24"/>
        </w:rPr>
        <w:t>contract</w:t>
      </w:r>
      <w:r>
        <w:rPr>
          <w:i/>
          <w:color w:val="231F20"/>
          <w:spacing w:val="-3"/>
          <w:sz w:val="24"/>
        </w:rPr>
        <w:t> </w:t>
      </w:r>
      <w:r>
        <w:rPr>
          <w:i/>
          <w:color w:val="231F20"/>
          <w:sz w:val="24"/>
        </w:rPr>
        <w:t>outside</w:t>
      </w:r>
      <w:r>
        <w:rPr>
          <w:i/>
          <w:color w:val="231F20"/>
          <w:spacing w:val="-4"/>
          <w:sz w:val="24"/>
        </w:rPr>
        <w:t> </w:t>
      </w:r>
      <w:r>
        <w:rPr>
          <w:i/>
          <w:color w:val="231F20"/>
          <w:sz w:val="24"/>
        </w:rPr>
        <w:t>of</w:t>
      </w:r>
      <w:r>
        <w:rPr>
          <w:i/>
          <w:color w:val="231F20"/>
          <w:spacing w:val="-5"/>
          <w:sz w:val="24"/>
        </w:rPr>
        <w:t> </w:t>
      </w:r>
      <w:r>
        <w:rPr>
          <w:i/>
          <w:color w:val="231F20"/>
          <w:sz w:val="24"/>
        </w:rPr>
        <w:t>a</w:t>
      </w:r>
      <w:r>
        <w:rPr>
          <w:i/>
          <w:color w:val="231F20"/>
          <w:spacing w:val="-3"/>
          <w:sz w:val="24"/>
        </w:rPr>
        <w:t> </w:t>
      </w:r>
      <w:r>
        <w:rPr>
          <w:i/>
          <w:color w:val="231F20"/>
          <w:sz w:val="24"/>
        </w:rPr>
        <w:t>public meeting. The mayor reads Ms. Garcia’s letter and forwards it to the other councilors. The council does not take any steps to address Ms. Garcia’s letter. Fifteen days after the mayor received her letter, Ms. Garcia may file a lawsuit against the council to enforce the Act. If she succeeds in proving that a violation occurred, she will be entitled to an award of costs and reasonable attorney fees.</w:t>
      </w:r>
    </w:p>
    <w:p>
      <w:pPr>
        <w:pStyle w:val="BodyText"/>
        <w:rPr>
          <w:i/>
        </w:rPr>
      </w:pPr>
    </w:p>
    <w:p>
      <w:pPr>
        <w:pStyle w:val="BodyText"/>
        <w:spacing w:before="1"/>
        <w:ind w:left="465"/>
      </w:pPr>
      <w:bookmarkStart w:name="Commentary" w:id="256"/>
      <w:bookmarkEnd w:id="256"/>
      <w:r>
        <w:rPr/>
      </w:r>
      <w:r>
        <w:rPr>
          <w:color w:val="231F20"/>
          <w:spacing w:val="-2"/>
          <w:u w:val="single" w:color="231F20"/>
        </w:rPr>
        <w:t>Commentary</w:t>
      </w:r>
    </w:p>
    <w:p>
      <w:pPr>
        <w:pStyle w:val="BodyText"/>
      </w:pPr>
    </w:p>
    <w:p>
      <w:pPr>
        <w:pStyle w:val="BodyText"/>
        <w:ind w:left="475" w:right="349" w:hanging="10"/>
        <w:jc w:val="both"/>
      </w:pPr>
      <w:r>
        <w:rPr>
          <w:color w:val="231F20"/>
        </w:rPr>
        <w:t>If a public body successfully defends itself against a</w:t>
      </w:r>
      <w:r>
        <w:rPr>
          <w:color w:val="231F20"/>
          <w:spacing w:val="-3"/>
        </w:rPr>
        <w:t> </w:t>
      </w:r>
      <w:r>
        <w:rPr>
          <w:color w:val="231F20"/>
        </w:rPr>
        <w:t>lawsuit</w:t>
      </w:r>
      <w:r>
        <w:rPr>
          <w:color w:val="231F20"/>
          <w:spacing w:val="-2"/>
        </w:rPr>
        <w:t> </w:t>
      </w:r>
      <w:r>
        <w:rPr>
          <w:color w:val="231F20"/>
        </w:rPr>
        <w:t>brought</w:t>
      </w:r>
      <w:r>
        <w:rPr>
          <w:color w:val="231F20"/>
          <w:spacing w:val="-2"/>
        </w:rPr>
        <w:t> </w:t>
      </w:r>
      <w:r>
        <w:rPr>
          <w:color w:val="231F20"/>
        </w:rPr>
        <w:t>to enforce</w:t>
      </w:r>
      <w:r>
        <w:rPr>
          <w:color w:val="231F20"/>
          <w:spacing w:val="-1"/>
        </w:rPr>
        <w:t> </w:t>
      </w:r>
      <w:r>
        <w:rPr>
          <w:color w:val="231F20"/>
        </w:rPr>
        <w:t>an</w:t>
      </w:r>
      <w:r>
        <w:rPr>
          <w:color w:val="231F20"/>
          <w:spacing w:val="-2"/>
        </w:rPr>
        <w:t> </w:t>
      </w:r>
      <w:r>
        <w:rPr>
          <w:color w:val="231F20"/>
        </w:rPr>
        <w:t>alleged</w:t>
      </w:r>
      <w:r>
        <w:rPr>
          <w:color w:val="231F20"/>
          <w:spacing w:val="-2"/>
        </w:rPr>
        <w:t> </w:t>
      </w:r>
      <w:r>
        <w:rPr>
          <w:color w:val="231F20"/>
        </w:rPr>
        <w:t>violation</w:t>
      </w:r>
      <w:r>
        <w:rPr>
          <w:color w:val="231F20"/>
          <w:spacing w:val="-2"/>
        </w:rPr>
        <w:t> </w:t>
      </w:r>
      <w:r>
        <w:rPr>
          <w:color w:val="231F20"/>
        </w:rPr>
        <w:t>of the Act, the public body defendant is entitled to court costs. A prevailing public body defendant is entitled to attorney fees only if the court</w:t>
      </w:r>
      <w:r>
        <w:rPr>
          <w:color w:val="231F20"/>
          <w:spacing w:val="40"/>
        </w:rPr>
        <w:t> </w:t>
      </w:r>
      <w:r>
        <w:rPr>
          <w:color w:val="231F20"/>
        </w:rPr>
        <w:t>determines that the person who brought The Lawsuit did so without any valid basis or support.</w:t>
      </w:r>
    </w:p>
    <w:p>
      <w:pPr>
        <w:pStyle w:val="BodyText"/>
        <w:spacing w:before="11"/>
        <w:rPr>
          <w:sz w:val="27"/>
        </w:rPr>
      </w:pPr>
    </w:p>
    <w:p>
      <w:pPr>
        <w:spacing w:before="0"/>
        <w:ind w:left="465" w:right="0" w:firstLine="0"/>
        <w:jc w:val="both"/>
        <w:rPr>
          <w:i/>
          <w:sz w:val="24"/>
        </w:rPr>
      </w:pPr>
      <w:bookmarkStart w:name="Example 94:" w:id="257"/>
      <w:bookmarkEnd w:id="25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94:</w:t>
      </w:r>
    </w:p>
    <w:p>
      <w:pPr>
        <w:pStyle w:val="BodyText"/>
        <w:spacing w:before="11"/>
        <w:rPr>
          <w:i/>
          <w:sz w:val="27"/>
        </w:rPr>
      </w:pPr>
    </w:p>
    <w:p>
      <w:pPr>
        <w:spacing w:before="0"/>
        <w:ind w:left="475" w:right="350" w:hanging="10"/>
        <w:jc w:val="both"/>
        <w:rPr>
          <w:i/>
          <w:sz w:val="24"/>
        </w:rPr>
      </w:pPr>
      <w:r>
        <w:rPr>
          <w:i/>
          <w:color w:val="231F20"/>
          <w:sz w:val="24"/>
        </w:rPr>
        <w:t>Assume the same facts set forth in Example 91. At</w:t>
      </w:r>
      <w:r>
        <w:rPr>
          <w:i/>
          <w:color w:val="231F20"/>
          <w:sz w:val="24"/>
        </w:rPr>
        <w:t> the hearing on the application for injunctive relief, the school board defends itself by alleging that the parents’</w:t>
      </w:r>
      <w:r>
        <w:rPr>
          <w:i/>
          <w:color w:val="231F20"/>
          <w:sz w:val="24"/>
        </w:rPr>
        <w:t> claims were not supported</w:t>
      </w:r>
      <w:r>
        <w:rPr>
          <w:i/>
          <w:color w:val="231F20"/>
          <w:sz w:val="24"/>
        </w:rPr>
        <w:t> by</w:t>
      </w:r>
      <w:r>
        <w:rPr>
          <w:i/>
          <w:color w:val="231F20"/>
          <w:sz w:val="24"/>
        </w:rPr>
        <w:t> any</w:t>
      </w:r>
      <w:r>
        <w:rPr>
          <w:i/>
          <w:color w:val="231F20"/>
          <w:sz w:val="24"/>
        </w:rPr>
        <w:t> facts showing a violation of the Open Meetings Act. If the parents brought the lawsuit under the Act without any belief that good grounds supported it, the</w:t>
      </w:r>
      <w:r>
        <w:rPr>
          <w:i/>
          <w:color w:val="231F20"/>
          <w:sz w:val="24"/>
        </w:rPr>
        <w:t> court</w:t>
      </w:r>
      <w:r>
        <w:rPr>
          <w:i/>
          <w:color w:val="231F20"/>
          <w:sz w:val="24"/>
        </w:rPr>
        <w:t> may find that the lawsuit was frivolous and, in addition to denying the injunction, award the</w:t>
      </w:r>
      <w:r>
        <w:rPr>
          <w:i/>
          <w:color w:val="231F20"/>
          <w:spacing w:val="49"/>
          <w:sz w:val="24"/>
        </w:rPr>
        <w:t> </w:t>
      </w:r>
      <w:r>
        <w:rPr>
          <w:i/>
          <w:color w:val="231F20"/>
          <w:sz w:val="24"/>
        </w:rPr>
        <w:t>school</w:t>
      </w:r>
      <w:r>
        <w:rPr>
          <w:i/>
          <w:color w:val="231F20"/>
          <w:spacing w:val="52"/>
          <w:sz w:val="24"/>
        </w:rPr>
        <w:t> </w:t>
      </w:r>
      <w:r>
        <w:rPr>
          <w:i/>
          <w:color w:val="231F20"/>
          <w:sz w:val="24"/>
        </w:rPr>
        <w:t>board</w:t>
      </w:r>
      <w:r>
        <w:rPr>
          <w:i/>
          <w:color w:val="231F20"/>
          <w:spacing w:val="51"/>
          <w:sz w:val="24"/>
        </w:rPr>
        <w:t> </w:t>
      </w:r>
      <w:r>
        <w:rPr>
          <w:i/>
          <w:color w:val="231F20"/>
          <w:sz w:val="24"/>
        </w:rPr>
        <w:t>its</w:t>
      </w:r>
      <w:r>
        <w:rPr>
          <w:i/>
          <w:color w:val="231F20"/>
          <w:spacing w:val="54"/>
          <w:sz w:val="24"/>
        </w:rPr>
        <w:t> </w:t>
      </w:r>
      <w:r>
        <w:rPr>
          <w:i/>
          <w:color w:val="231F20"/>
          <w:sz w:val="24"/>
        </w:rPr>
        <w:t>court</w:t>
      </w:r>
      <w:r>
        <w:rPr>
          <w:i/>
          <w:color w:val="231F20"/>
          <w:spacing w:val="52"/>
          <w:sz w:val="24"/>
        </w:rPr>
        <w:t> </w:t>
      </w:r>
      <w:r>
        <w:rPr>
          <w:i/>
          <w:color w:val="231F20"/>
          <w:sz w:val="24"/>
        </w:rPr>
        <w:t>costs</w:t>
      </w:r>
      <w:r>
        <w:rPr>
          <w:i/>
          <w:color w:val="231F20"/>
          <w:spacing w:val="52"/>
          <w:sz w:val="24"/>
        </w:rPr>
        <w:t> </w:t>
      </w:r>
      <w:r>
        <w:rPr>
          <w:i/>
          <w:color w:val="231F20"/>
          <w:sz w:val="24"/>
        </w:rPr>
        <w:t>and</w:t>
      </w:r>
      <w:r>
        <w:rPr>
          <w:i/>
          <w:color w:val="231F20"/>
          <w:spacing w:val="50"/>
          <w:sz w:val="24"/>
        </w:rPr>
        <w:t> </w:t>
      </w:r>
      <w:r>
        <w:rPr>
          <w:i/>
          <w:color w:val="231F20"/>
          <w:spacing w:val="-2"/>
          <w:sz w:val="24"/>
        </w:rPr>
        <w:t>reasonable</w:t>
      </w:r>
    </w:p>
    <w:p>
      <w:pPr>
        <w:spacing w:after="0"/>
        <w:jc w:val="both"/>
        <w:rPr>
          <w:sz w:val="24"/>
        </w:rPr>
        <w:sectPr>
          <w:type w:val="continuous"/>
          <w:pgSz w:w="12240" w:h="15840"/>
          <w:pgMar w:header="660" w:footer="484" w:top="480" w:bottom="280" w:left="360" w:right="240"/>
          <w:cols w:num="2" w:equalWidth="0">
            <w:col w:w="5447" w:space="435"/>
            <w:col w:w="5758"/>
          </w:cols>
        </w:sectPr>
      </w:pPr>
    </w:p>
    <w:p>
      <w:pPr>
        <w:pStyle w:val="BodyText"/>
        <w:spacing w:before="8"/>
        <w:rPr>
          <w:i/>
          <w:sz w:val="15"/>
        </w:rPr>
      </w:pPr>
    </w:p>
    <w:p>
      <w:pPr>
        <w:spacing w:before="90"/>
        <w:ind w:left="475" w:right="0" w:firstLine="0"/>
        <w:jc w:val="left"/>
        <w:rPr>
          <w:i/>
          <w:sz w:val="24"/>
        </w:rPr>
      </w:pPr>
      <w:r>
        <w:rPr>
          <w:i/>
          <w:color w:val="231F20"/>
          <w:sz w:val="24"/>
        </w:rPr>
        <w:t>attorney</w:t>
      </w:r>
      <w:r>
        <w:rPr>
          <w:i/>
          <w:color w:val="231F20"/>
          <w:spacing w:val="-3"/>
          <w:sz w:val="24"/>
        </w:rPr>
        <w:t> </w:t>
      </w:r>
      <w:r>
        <w:rPr>
          <w:i/>
          <w:color w:val="231F20"/>
          <w:spacing w:val="-2"/>
          <w:sz w:val="24"/>
        </w:rPr>
        <w:t>fees.</w:t>
      </w:r>
    </w:p>
    <w:p>
      <w:pPr>
        <w:pStyle w:val="BodyText"/>
        <w:spacing w:before="5"/>
        <w:rPr>
          <w:i/>
          <w:sz w:val="28"/>
        </w:rPr>
      </w:pPr>
    </w:p>
    <w:p>
      <w:pPr>
        <w:pStyle w:val="Heading2"/>
        <w:numPr>
          <w:ilvl w:val="0"/>
          <w:numId w:val="15"/>
        </w:numPr>
        <w:tabs>
          <w:tab w:pos="807" w:val="left" w:leader="none"/>
        </w:tabs>
        <w:spacing w:line="240" w:lineRule="auto" w:before="0" w:after="0"/>
        <w:ind w:left="806" w:right="0" w:hanging="342"/>
        <w:jc w:val="left"/>
      </w:pPr>
      <w:bookmarkStart w:name="_TOC_250001" w:id="258"/>
      <w:bookmarkStart w:name="D. Other Remedies" w:id="259"/>
      <w:r>
        <w:rPr>
          <w:color w:val="231F20"/>
        </w:rPr>
        <w:t>Ot</w:t>
      </w:r>
      <w:r>
        <w:rPr>
          <w:color w:val="231F20"/>
        </w:rPr>
        <w:t>her</w:t>
      </w:r>
      <w:bookmarkEnd w:id="258"/>
      <w:r>
        <w:rPr>
          <w:color w:val="231F20"/>
          <w:spacing w:val="-2"/>
        </w:rPr>
        <w:t> Remedies</w:t>
      </w:r>
    </w:p>
    <w:p>
      <w:pPr>
        <w:pStyle w:val="BodyText"/>
        <w:spacing w:before="10"/>
        <w:rPr>
          <w:b/>
          <w:sz w:val="27"/>
        </w:rPr>
      </w:pPr>
    </w:p>
    <w:p>
      <w:pPr>
        <w:spacing w:before="0"/>
        <w:ind w:left="465" w:right="0" w:firstLine="0"/>
        <w:jc w:val="left"/>
        <w:rPr>
          <w:b/>
          <w:sz w:val="24"/>
        </w:rPr>
      </w:pPr>
      <w:bookmarkStart w:name="The Law" w:id="260"/>
      <w:bookmarkEnd w:id="260"/>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1"/>
        <w:rPr>
          <w:b/>
          <w:sz w:val="20"/>
        </w:rPr>
      </w:pPr>
    </w:p>
    <w:p>
      <w:pPr>
        <w:spacing w:before="90"/>
        <w:ind w:left="475" w:right="6232" w:hanging="10"/>
        <w:jc w:val="both"/>
        <w:rPr>
          <w:b/>
          <w:sz w:val="24"/>
        </w:rPr>
      </w:pPr>
      <w:r>
        <w:rPr>
          <w:b/>
          <w:color w:val="231F20"/>
          <w:sz w:val="24"/>
        </w:rPr>
        <w:t>No section of the Open Meetings Act</w:t>
      </w:r>
      <w:r>
        <w:rPr>
          <w:b/>
          <w:color w:val="231F20"/>
          <w:sz w:val="24"/>
        </w:rPr>
        <w:t> shall be construed to preclude other remedies or rights not relating to the question of open meetings.</w:t>
      </w:r>
    </w:p>
    <w:p>
      <w:pPr>
        <w:pStyle w:val="BodyText"/>
        <w:spacing w:before="9"/>
        <w:rPr>
          <w:b/>
          <w:sz w:val="27"/>
        </w:rPr>
      </w:pPr>
    </w:p>
    <w:p>
      <w:pPr>
        <w:pStyle w:val="BodyText"/>
        <w:ind w:left="465"/>
      </w:pPr>
      <w:bookmarkStart w:name="Commentary" w:id="261"/>
      <w:bookmarkEnd w:id="261"/>
      <w:r>
        <w:rPr/>
      </w:r>
      <w:r>
        <w:rPr>
          <w:color w:val="231F20"/>
          <w:spacing w:val="-2"/>
          <w:u w:val="single" w:color="231F20"/>
        </w:rPr>
        <w:t>Commentary</w:t>
      </w:r>
    </w:p>
    <w:p>
      <w:pPr>
        <w:pStyle w:val="BodyText"/>
        <w:spacing w:before="2"/>
        <w:rPr>
          <w:sz w:val="20"/>
        </w:rPr>
      </w:pPr>
    </w:p>
    <w:p>
      <w:pPr>
        <w:pStyle w:val="BodyText"/>
        <w:spacing w:before="90"/>
        <w:ind w:left="475" w:right="6232" w:hanging="10"/>
        <w:jc w:val="both"/>
      </w:pPr>
      <w:r>
        <w:rPr>
          <w:color w:val="231F20"/>
        </w:rPr>
        <w:t>This Subsection simply makes it clear that the remedies available to challenge a public body’s action for violating the Act are not exclusive. The public is not precluded from charging the public body with violation of other laws in connection with the same action.</w:t>
      </w:r>
    </w:p>
    <w:p>
      <w:pPr>
        <w:pStyle w:val="BodyText"/>
        <w:spacing w:before="11"/>
        <w:rPr>
          <w:sz w:val="27"/>
        </w:rPr>
      </w:pPr>
    </w:p>
    <w:p>
      <w:pPr>
        <w:spacing w:before="0"/>
        <w:ind w:left="465" w:right="0" w:firstLine="0"/>
        <w:jc w:val="both"/>
        <w:rPr>
          <w:i/>
          <w:sz w:val="24"/>
        </w:rPr>
      </w:pPr>
      <w:bookmarkStart w:name="Example 95:" w:id="262"/>
      <w:bookmarkEnd w:id="262"/>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95:</w:t>
      </w:r>
    </w:p>
    <w:p>
      <w:pPr>
        <w:pStyle w:val="BodyText"/>
        <w:spacing w:before="2"/>
        <w:rPr>
          <w:i/>
          <w:sz w:val="20"/>
        </w:rPr>
      </w:pPr>
    </w:p>
    <w:p>
      <w:pPr>
        <w:spacing w:before="90"/>
        <w:ind w:left="475" w:right="6232" w:hanging="10"/>
        <w:jc w:val="both"/>
        <w:rPr>
          <w:i/>
          <w:sz w:val="24"/>
        </w:rPr>
      </w:pPr>
      <w:r>
        <w:rPr>
          <w:i/>
          <w:color w:val="231F20"/>
          <w:sz w:val="24"/>
        </w:rPr>
        <w:t>A board of county commissioners votes to apply</w:t>
      </w:r>
      <w:r>
        <w:rPr>
          <w:i/>
          <w:color w:val="231F20"/>
          <w:spacing w:val="40"/>
          <w:sz w:val="24"/>
        </w:rPr>
        <w:t> </w:t>
      </w:r>
      <w:r>
        <w:rPr>
          <w:i/>
          <w:color w:val="231F20"/>
          <w:sz w:val="24"/>
        </w:rPr>
        <w:t>the sole source exception stated in Section 10-15- 1(H)(6)</w:t>
      </w:r>
      <w:r>
        <w:rPr>
          <w:i/>
          <w:color w:val="231F20"/>
          <w:sz w:val="24"/>
        </w:rPr>
        <w:t> of</w:t>
      </w:r>
      <w:r>
        <w:rPr>
          <w:i/>
          <w:color w:val="231F20"/>
          <w:sz w:val="24"/>
        </w:rPr>
        <w:t> the</w:t>
      </w:r>
      <w:r>
        <w:rPr>
          <w:i/>
          <w:color w:val="231F20"/>
          <w:sz w:val="24"/>
        </w:rPr>
        <w:t> Act</w:t>
      </w:r>
      <w:r>
        <w:rPr>
          <w:i/>
          <w:color w:val="231F20"/>
          <w:sz w:val="24"/>
        </w:rPr>
        <w:t> to</w:t>
      </w:r>
      <w:r>
        <w:rPr>
          <w:i/>
          <w:color w:val="231F20"/>
          <w:sz w:val="24"/>
        </w:rPr>
        <w:t> close a meeting to discuss</w:t>
      </w:r>
      <w:r>
        <w:rPr>
          <w:i/>
          <w:color w:val="231F20"/>
          <w:spacing w:val="80"/>
          <w:sz w:val="24"/>
        </w:rPr>
        <w:t> </w:t>
      </w:r>
      <w:r>
        <w:rPr>
          <w:i/>
          <w:color w:val="231F20"/>
          <w:sz w:val="24"/>
        </w:rPr>
        <w:t>and decide upon the purchase of water fountains from Fountain Company when such fountains are available from other vendors. A competing water fountain vendor alleges that the board violated the Act and files suit to overturn the action. If warranted, the competitor might also allege that the board violated the Procurement Code by</w:t>
      </w:r>
      <w:r>
        <w:rPr>
          <w:i/>
          <w:color w:val="231F20"/>
          <w:spacing w:val="40"/>
          <w:sz w:val="24"/>
        </w:rPr>
        <w:t> </w:t>
      </w:r>
      <w:r>
        <w:rPr>
          <w:i/>
          <w:color w:val="231F20"/>
          <w:sz w:val="24"/>
        </w:rPr>
        <w:t>failing to take bids on this purchase.</w:t>
      </w:r>
    </w:p>
    <w:p>
      <w:pPr>
        <w:spacing w:after="0"/>
        <w:jc w:val="both"/>
        <w:rPr>
          <w:sz w:val="24"/>
        </w:rPr>
        <w:sectPr>
          <w:pgSz w:w="12240" w:h="15840"/>
          <w:pgMar w:header="660" w:footer="484" w:top="960" w:bottom="720" w:left="360" w:right="240"/>
        </w:sectPr>
      </w:pPr>
    </w:p>
    <w:p>
      <w:pPr>
        <w:pStyle w:val="BodyText"/>
        <w:spacing w:before="2"/>
        <w:rPr>
          <w:i/>
          <w:sz w:val="17"/>
        </w:rPr>
      </w:pPr>
    </w:p>
    <w:p>
      <w:pPr>
        <w:pStyle w:val="Heading1"/>
        <w:numPr>
          <w:ilvl w:val="0"/>
          <w:numId w:val="2"/>
        </w:numPr>
        <w:tabs>
          <w:tab w:pos="2301" w:val="left" w:leader="none"/>
          <w:tab w:pos="2302" w:val="left" w:leader="none"/>
        </w:tabs>
        <w:spacing w:line="240" w:lineRule="auto" w:before="75" w:after="0"/>
        <w:ind w:left="2301" w:right="0" w:hanging="1450"/>
        <w:jc w:val="left"/>
        <w:rPr>
          <w:color w:val="231F20"/>
        </w:rPr>
      </w:pPr>
      <w:bookmarkStart w:name="_TOC_250000" w:id="263"/>
      <w:bookmarkStart w:name="VI. Section 10-15-4. Criminal Penalties" w:id="264"/>
      <w:r>
        <w:rPr>
          <w:color w:val="231F20"/>
        </w:rPr>
        <w:t>Sec</w:t>
      </w:r>
      <w:r>
        <w:rPr>
          <w:color w:val="231F20"/>
        </w:rPr>
        <w:t>tion</w:t>
      </w:r>
      <w:r>
        <w:rPr>
          <w:color w:val="231F20"/>
          <w:spacing w:val="-25"/>
        </w:rPr>
        <w:t> </w:t>
      </w:r>
      <w:r>
        <w:rPr>
          <w:color w:val="231F20"/>
        </w:rPr>
        <w:t>10-15-4.</w:t>
      </w:r>
      <w:r>
        <w:rPr>
          <w:color w:val="231F20"/>
          <w:spacing w:val="-24"/>
        </w:rPr>
        <w:t> </w:t>
      </w:r>
      <w:r>
        <w:rPr>
          <w:color w:val="231F20"/>
        </w:rPr>
        <w:t>Criminal</w:t>
      </w:r>
      <w:r>
        <w:rPr>
          <w:color w:val="231F20"/>
          <w:spacing w:val="-25"/>
        </w:rPr>
        <w:t> </w:t>
      </w:r>
      <w:bookmarkEnd w:id="263"/>
      <w:r>
        <w:rPr>
          <w:color w:val="231F20"/>
          <w:spacing w:val="-2"/>
        </w:rPr>
        <w:t>Penalties</w:t>
      </w:r>
    </w:p>
    <w:p>
      <w:pPr>
        <w:spacing w:before="277"/>
        <w:ind w:left="465" w:right="0" w:firstLine="0"/>
        <w:jc w:val="left"/>
        <w:rPr>
          <w:b/>
          <w:sz w:val="24"/>
        </w:rPr>
      </w:pPr>
      <w:bookmarkStart w:name="The Law" w:id="265"/>
      <w:bookmarkEnd w:id="265"/>
      <w:r>
        <w:rPr/>
      </w:r>
      <w:r>
        <w:rPr>
          <w:b/>
          <w:color w:val="231F20"/>
          <w:sz w:val="24"/>
          <w:u w:val="single" w:color="231F20"/>
        </w:rPr>
        <w:t>The</w:t>
      </w:r>
      <w:r>
        <w:rPr>
          <w:b/>
          <w:color w:val="231F20"/>
          <w:spacing w:val="-4"/>
          <w:sz w:val="24"/>
          <w:u w:val="single" w:color="231F20"/>
        </w:rPr>
        <w:t> </w:t>
      </w:r>
      <w:r>
        <w:rPr>
          <w:b/>
          <w:color w:val="231F20"/>
          <w:spacing w:val="-5"/>
          <w:sz w:val="24"/>
          <w:u w:val="single" w:color="231F20"/>
        </w:rPr>
        <w:t>Law</w:t>
      </w:r>
    </w:p>
    <w:p>
      <w:pPr>
        <w:pStyle w:val="BodyText"/>
        <w:spacing w:before="2"/>
        <w:rPr>
          <w:b/>
          <w:sz w:val="16"/>
        </w:rPr>
      </w:pPr>
    </w:p>
    <w:p>
      <w:pPr>
        <w:spacing w:before="90"/>
        <w:ind w:left="475" w:right="6232" w:hanging="10"/>
        <w:jc w:val="both"/>
        <w:rPr>
          <w:b/>
          <w:sz w:val="24"/>
        </w:rPr>
      </w:pPr>
      <w:r>
        <w:rPr>
          <w:b/>
          <w:color w:val="231F20"/>
          <w:sz w:val="24"/>
        </w:rPr>
        <w:t>Any person violating any of the provisions of NMSA</w:t>
      </w:r>
      <w:r>
        <w:rPr>
          <w:b/>
          <w:color w:val="231F20"/>
          <w:spacing w:val="-4"/>
          <w:sz w:val="24"/>
        </w:rPr>
        <w:t> </w:t>
      </w:r>
      <w:r>
        <w:rPr>
          <w:b/>
          <w:color w:val="231F20"/>
          <w:sz w:val="24"/>
        </w:rPr>
        <w:t>1978,</w:t>
      </w:r>
      <w:r>
        <w:rPr>
          <w:b/>
          <w:color w:val="231F20"/>
          <w:spacing w:val="-3"/>
          <w:sz w:val="24"/>
        </w:rPr>
        <w:t> </w:t>
      </w:r>
      <w:r>
        <w:rPr>
          <w:b/>
          <w:color w:val="231F20"/>
          <w:sz w:val="24"/>
        </w:rPr>
        <w:t>Section</w:t>
      </w:r>
      <w:r>
        <w:rPr>
          <w:b/>
          <w:color w:val="231F20"/>
          <w:spacing w:val="-2"/>
          <w:sz w:val="24"/>
        </w:rPr>
        <w:t> </w:t>
      </w:r>
      <w:r>
        <w:rPr>
          <w:b/>
          <w:color w:val="231F20"/>
          <w:sz w:val="24"/>
        </w:rPr>
        <w:t>10-15-1</w:t>
      </w:r>
      <w:r>
        <w:rPr>
          <w:b/>
          <w:color w:val="231F20"/>
          <w:spacing w:val="-3"/>
          <w:sz w:val="24"/>
        </w:rPr>
        <w:t> </w:t>
      </w:r>
      <w:r>
        <w:rPr>
          <w:b/>
          <w:color w:val="231F20"/>
          <w:sz w:val="24"/>
        </w:rPr>
        <w:t>or</w:t>
      </w:r>
      <w:r>
        <w:rPr>
          <w:b/>
          <w:color w:val="231F20"/>
          <w:spacing w:val="-2"/>
          <w:sz w:val="24"/>
        </w:rPr>
        <w:t> </w:t>
      </w:r>
      <w:r>
        <w:rPr>
          <w:b/>
          <w:color w:val="231F20"/>
          <w:sz w:val="24"/>
        </w:rPr>
        <w:t>10-15-2</w:t>
      </w:r>
      <w:r>
        <w:rPr>
          <w:b/>
          <w:color w:val="231F20"/>
          <w:spacing w:val="-1"/>
          <w:sz w:val="24"/>
        </w:rPr>
        <w:t> </w:t>
      </w:r>
      <w:r>
        <w:rPr>
          <w:b/>
          <w:color w:val="231F20"/>
          <w:sz w:val="24"/>
        </w:rPr>
        <w:t>is</w:t>
      </w:r>
      <w:r>
        <w:rPr>
          <w:b/>
          <w:color w:val="231F20"/>
          <w:spacing w:val="-3"/>
          <w:sz w:val="24"/>
        </w:rPr>
        <w:t> </w:t>
      </w:r>
      <w:r>
        <w:rPr>
          <w:b/>
          <w:color w:val="231F20"/>
          <w:sz w:val="24"/>
        </w:rPr>
        <w:t>guilty of a misdemeanor and upon conviction shall be punished by a fine of not</w:t>
      </w:r>
      <w:r>
        <w:rPr>
          <w:b/>
          <w:color w:val="231F20"/>
          <w:sz w:val="24"/>
        </w:rPr>
        <w:t> more</w:t>
      </w:r>
      <w:r>
        <w:rPr>
          <w:b/>
          <w:color w:val="231F20"/>
          <w:sz w:val="24"/>
        </w:rPr>
        <w:t> than five hundred dollars ($500) for each offense.</w:t>
      </w:r>
    </w:p>
    <w:p>
      <w:pPr>
        <w:pStyle w:val="BodyText"/>
        <w:spacing w:before="7"/>
        <w:rPr>
          <w:b/>
          <w:sz w:val="23"/>
        </w:rPr>
      </w:pPr>
    </w:p>
    <w:p>
      <w:pPr>
        <w:pStyle w:val="BodyText"/>
        <w:ind w:left="465"/>
      </w:pPr>
      <w:bookmarkStart w:name="Commentary" w:id="266"/>
      <w:bookmarkEnd w:id="266"/>
      <w:r>
        <w:rPr/>
      </w:r>
      <w:r>
        <w:rPr>
          <w:color w:val="231F20"/>
          <w:spacing w:val="-2"/>
          <w:u w:val="single" w:color="231F20"/>
        </w:rPr>
        <w:t>Commentary</w:t>
      </w:r>
    </w:p>
    <w:p>
      <w:pPr>
        <w:pStyle w:val="BodyText"/>
        <w:spacing w:before="2"/>
        <w:rPr>
          <w:sz w:val="16"/>
        </w:rPr>
      </w:pPr>
    </w:p>
    <w:p>
      <w:pPr>
        <w:pStyle w:val="BodyText"/>
        <w:spacing w:before="90"/>
        <w:ind w:left="475" w:right="6231" w:hanging="10"/>
        <w:jc w:val="both"/>
      </w:pPr>
      <w:r>
        <w:rPr>
          <w:color w:val="231F20"/>
        </w:rPr>
        <w:t>If, after investigating charges that the Act has been violated, the Attorney General finds that the charges are valid and substantial, the Attorney General</w:t>
      </w:r>
      <w:r>
        <w:rPr>
          <w:color w:val="231F20"/>
          <w:spacing w:val="-1"/>
        </w:rPr>
        <w:t> </w:t>
      </w:r>
      <w:r>
        <w:rPr>
          <w:color w:val="231F20"/>
        </w:rPr>
        <w:t>may</w:t>
      </w:r>
      <w:r>
        <w:rPr>
          <w:color w:val="231F20"/>
          <w:spacing w:val="-5"/>
        </w:rPr>
        <w:t> </w:t>
      </w:r>
      <w:r>
        <w:rPr>
          <w:color w:val="231F20"/>
        </w:rPr>
        <w:t>initiate</w:t>
      </w:r>
      <w:r>
        <w:rPr>
          <w:color w:val="231F20"/>
          <w:spacing w:val="-3"/>
        </w:rPr>
        <w:t> </w:t>
      </w:r>
      <w:r>
        <w:rPr>
          <w:color w:val="231F20"/>
        </w:rPr>
        <w:t>a</w:t>
      </w:r>
      <w:r>
        <w:rPr>
          <w:color w:val="231F20"/>
          <w:spacing w:val="-3"/>
        </w:rPr>
        <w:t> </w:t>
      </w:r>
      <w:r>
        <w:rPr>
          <w:color w:val="231F20"/>
        </w:rPr>
        <w:t>criminal</w:t>
      </w:r>
      <w:r>
        <w:rPr>
          <w:color w:val="231F20"/>
          <w:spacing w:val="-1"/>
        </w:rPr>
        <w:t> </w:t>
      </w:r>
      <w:r>
        <w:rPr>
          <w:color w:val="231F20"/>
        </w:rPr>
        <w:t>prosecution</w:t>
      </w:r>
      <w:r>
        <w:rPr>
          <w:color w:val="231F20"/>
          <w:spacing w:val="-2"/>
        </w:rPr>
        <w:t> </w:t>
      </w:r>
      <w:r>
        <w:rPr>
          <w:color w:val="231F20"/>
        </w:rPr>
        <w:t>against each of those persons responsible for the violation. The public officers or employees charged may be held personally responsible</w:t>
      </w:r>
      <w:r>
        <w:rPr>
          <w:color w:val="231F20"/>
        </w:rPr>
        <w:t> for</w:t>
      </w:r>
      <w:r>
        <w:rPr>
          <w:color w:val="231F20"/>
        </w:rPr>
        <w:t> violations</w:t>
      </w:r>
      <w:r>
        <w:rPr>
          <w:color w:val="231F20"/>
        </w:rPr>
        <w:t> of</w:t>
      </w:r>
      <w:r>
        <w:rPr>
          <w:color w:val="231F20"/>
        </w:rPr>
        <w:t> the Act if it is shown that they intentionally acted in a manner that violated the Act. In addition to the members of the public body, other officials responsible for implementing the Act’s provisions may be found liable.</w:t>
      </w:r>
    </w:p>
    <w:p>
      <w:pPr>
        <w:pStyle w:val="BodyText"/>
      </w:pPr>
    </w:p>
    <w:p>
      <w:pPr>
        <w:spacing w:before="0"/>
        <w:ind w:left="465" w:right="0" w:firstLine="0"/>
        <w:jc w:val="both"/>
        <w:rPr>
          <w:i/>
          <w:sz w:val="24"/>
        </w:rPr>
      </w:pPr>
      <w:bookmarkStart w:name="Example 96:" w:id="267"/>
      <w:bookmarkEnd w:id="267"/>
      <w:r>
        <w:rPr/>
      </w:r>
      <w:r>
        <w:rPr>
          <w:i/>
          <w:color w:val="231F20"/>
          <w:sz w:val="24"/>
          <w:u w:val="single" w:color="231F20"/>
        </w:rPr>
        <w:t>Example</w:t>
      </w:r>
      <w:r>
        <w:rPr>
          <w:i/>
          <w:color w:val="231F20"/>
          <w:spacing w:val="-7"/>
          <w:sz w:val="24"/>
          <w:u w:val="single" w:color="231F20"/>
        </w:rPr>
        <w:t> </w:t>
      </w:r>
      <w:r>
        <w:rPr>
          <w:i/>
          <w:color w:val="231F20"/>
          <w:spacing w:val="-5"/>
          <w:sz w:val="24"/>
          <w:u w:val="single" w:color="231F20"/>
        </w:rPr>
        <w:t>96:</w:t>
      </w:r>
    </w:p>
    <w:p>
      <w:pPr>
        <w:pStyle w:val="BodyText"/>
        <w:spacing w:before="2"/>
        <w:rPr>
          <w:i/>
          <w:sz w:val="16"/>
        </w:rPr>
      </w:pPr>
    </w:p>
    <w:p>
      <w:pPr>
        <w:spacing w:before="90"/>
        <w:ind w:left="465" w:right="6233" w:firstLine="0"/>
        <w:jc w:val="left"/>
        <w:rPr>
          <w:i/>
          <w:sz w:val="24"/>
        </w:rPr>
      </w:pPr>
      <w:r>
        <w:rPr>
          <w:i/>
          <w:color w:val="231F20"/>
          <w:sz w:val="24"/>
        </w:rPr>
        <w:t>A city clerk is required by law to keep all minutes</w:t>
      </w:r>
      <w:r>
        <w:rPr>
          <w:i/>
          <w:color w:val="231F20"/>
          <w:sz w:val="24"/>
        </w:rPr>
        <w:t> of the governing</w:t>
      </w:r>
      <w:r>
        <w:rPr>
          <w:i/>
          <w:color w:val="231F20"/>
          <w:spacing w:val="30"/>
          <w:sz w:val="24"/>
        </w:rPr>
        <w:t> </w:t>
      </w:r>
      <w:r>
        <w:rPr>
          <w:i/>
          <w:color w:val="231F20"/>
          <w:sz w:val="24"/>
        </w:rPr>
        <w:t>body of a municipality. The city clerk might therefore be found liable for failure to have draft minutes available for public inspection as required by Section 10-15-1(G) of the Act.</w:t>
      </w:r>
    </w:p>
    <w:p>
      <w:pPr>
        <w:spacing w:after="0"/>
        <w:jc w:val="left"/>
        <w:rPr>
          <w:sz w:val="24"/>
        </w:rPr>
        <w:sectPr>
          <w:pgSz w:w="12240" w:h="15840"/>
          <w:pgMar w:header="660" w:footer="484" w:top="960" w:bottom="720" w:left="360" w:right="240"/>
        </w:sectPr>
      </w:pPr>
    </w:p>
    <w:p>
      <w:pPr>
        <w:pStyle w:val="BodyText"/>
        <w:spacing w:before="2"/>
        <w:rPr>
          <w:i/>
          <w:sz w:val="17"/>
        </w:rPr>
      </w:pPr>
    </w:p>
    <w:p>
      <w:pPr>
        <w:pStyle w:val="Heading1"/>
        <w:ind w:left="3218" w:right="679" w:firstLine="307"/>
      </w:pPr>
      <w:bookmarkStart w:name="Open Meetings Act" w:id="268"/>
      <w:bookmarkEnd w:id="268"/>
      <w:r>
        <w:rPr/>
      </w:r>
      <w:r>
        <w:rPr>
          <w:color w:val="231F20"/>
        </w:rPr>
        <w:t>Open Meetings Act Compliance</w:t>
      </w:r>
      <w:r>
        <w:rPr>
          <w:color w:val="231F20"/>
          <w:spacing w:val="-38"/>
        </w:rPr>
        <w:t> </w:t>
      </w:r>
      <w:r>
        <w:rPr>
          <w:color w:val="231F20"/>
        </w:rPr>
        <w:t>Checklist</w:t>
      </w:r>
    </w:p>
    <w:p>
      <w:pPr>
        <w:spacing w:before="530"/>
        <w:ind w:left="595" w:right="0" w:firstLine="0"/>
        <w:jc w:val="left"/>
        <w:rPr>
          <w:b/>
          <w:sz w:val="24"/>
        </w:rPr>
      </w:pPr>
      <w:bookmarkStart w:name="Open Meetings (§ 10-15-1 (B))" w:id="269"/>
      <w:bookmarkEnd w:id="269"/>
      <w:r>
        <w:rPr/>
      </w:r>
      <w:r>
        <w:rPr>
          <w:b/>
          <w:color w:val="231F20"/>
          <w:sz w:val="24"/>
          <w:u w:val="thick" w:color="231F20"/>
        </w:rPr>
        <w:t>Open</w:t>
      </w:r>
      <w:r>
        <w:rPr>
          <w:b/>
          <w:color w:val="231F20"/>
          <w:spacing w:val="-3"/>
          <w:sz w:val="24"/>
          <w:u w:val="thick" w:color="231F20"/>
        </w:rPr>
        <w:t> </w:t>
      </w:r>
      <w:r>
        <w:rPr>
          <w:b/>
          <w:color w:val="231F20"/>
          <w:sz w:val="24"/>
          <w:u w:val="thick" w:color="231F20"/>
        </w:rPr>
        <w:t>Meetings</w:t>
      </w:r>
      <w:r>
        <w:rPr>
          <w:b/>
          <w:color w:val="231F20"/>
          <w:spacing w:val="-3"/>
          <w:sz w:val="24"/>
          <w:u w:val="thick" w:color="231F20"/>
        </w:rPr>
        <w:t> </w:t>
      </w:r>
      <w:r>
        <w:rPr>
          <w:b/>
          <w:color w:val="231F20"/>
          <w:sz w:val="24"/>
          <w:u w:val="thick" w:color="231F20"/>
        </w:rPr>
        <w:t>(§</w:t>
      </w:r>
      <w:r>
        <w:rPr>
          <w:b/>
          <w:color w:val="231F20"/>
          <w:spacing w:val="-3"/>
          <w:sz w:val="24"/>
          <w:u w:val="thick" w:color="231F20"/>
        </w:rPr>
        <w:t> </w:t>
      </w:r>
      <w:r>
        <w:rPr>
          <w:b/>
          <w:color w:val="231F20"/>
          <w:sz w:val="24"/>
          <w:u w:val="thick" w:color="231F20"/>
        </w:rPr>
        <w:t>10-15-1</w:t>
      </w:r>
      <w:r>
        <w:rPr>
          <w:b/>
          <w:color w:val="231F20"/>
          <w:spacing w:val="-2"/>
          <w:sz w:val="24"/>
          <w:u w:val="thick" w:color="231F20"/>
        </w:rPr>
        <w:t> </w:t>
      </w:r>
      <w:r>
        <w:rPr>
          <w:b/>
          <w:color w:val="231F20"/>
          <w:spacing w:val="-4"/>
          <w:sz w:val="24"/>
          <w:u w:val="thick" w:color="231F20"/>
        </w:rPr>
        <w:t>(B))</w:t>
      </w:r>
    </w:p>
    <w:p>
      <w:pPr>
        <w:pStyle w:val="BodyText"/>
        <w:spacing w:before="10"/>
        <w:rPr>
          <w:b/>
          <w:sz w:val="21"/>
        </w:rPr>
      </w:pPr>
    </w:p>
    <w:p>
      <w:pPr>
        <w:pStyle w:val="BodyText"/>
        <w:spacing w:before="90"/>
        <w:ind w:left="595"/>
      </w:pPr>
      <w:r>
        <w:rPr>
          <w:color w:val="231F20"/>
        </w:rPr>
        <w:t>The</w:t>
      </w:r>
      <w:r>
        <w:rPr>
          <w:color w:val="231F20"/>
          <w:spacing w:val="-4"/>
        </w:rPr>
        <w:t> </w:t>
      </w:r>
      <w:r>
        <w:rPr>
          <w:color w:val="231F20"/>
        </w:rPr>
        <w:t>Open</w:t>
      </w:r>
      <w:r>
        <w:rPr>
          <w:color w:val="231F20"/>
          <w:spacing w:val="-2"/>
        </w:rPr>
        <w:t> </w:t>
      </w:r>
      <w:r>
        <w:rPr>
          <w:color w:val="231F20"/>
        </w:rPr>
        <w:t>Meetings</w:t>
      </w:r>
      <w:r>
        <w:rPr>
          <w:color w:val="231F20"/>
          <w:spacing w:val="-1"/>
        </w:rPr>
        <w:t> </w:t>
      </w:r>
      <w:r>
        <w:rPr>
          <w:color w:val="231F20"/>
        </w:rPr>
        <w:t>Act applies</w:t>
      </w:r>
      <w:r>
        <w:rPr>
          <w:color w:val="231F20"/>
          <w:spacing w:val="-2"/>
        </w:rPr>
        <w:t> </w:t>
      </w:r>
      <w:r>
        <w:rPr>
          <w:color w:val="231F20"/>
        </w:rPr>
        <w:t>to</w:t>
      </w:r>
      <w:r>
        <w:rPr>
          <w:color w:val="231F20"/>
          <w:spacing w:val="-3"/>
        </w:rPr>
        <w:t> </w:t>
      </w:r>
      <w:r>
        <w:rPr>
          <w:color w:val="231F20"/>
        </w:rPr>
        <w:t>meetings</w:t>
      </w:r>
      <w:r>
        <w:rPr>
          <w:color w:val="231F20"/>
          <w:spacing w:val="-2"/>
        </w:rPr>
        <w:t> </w:t>
      </w:r>
      <w:r>
        <w:rPr>
          <w:color w:val="231F20"/>
        </w:rPr>
        <w:t>of</w:t>
      </w:r>
      <w:r>
        <w:rPr>
          <w:color w:val="231F20"/>
          <w:spacing w:val="-4"/>
        </w:rPr>
        <w:t> </w:t>
      </w:r>
      <w:r>
        <w:rPr>
          <w:color w:val="231F20"/>
        </w:rPr>
        <w:t>public</w:t>
      </w:r>
      <w:r>
        <w:rPr>
          <w:color w:val="231F20"/>
          <w:spacing w:val="-3"/>
        </w:rPr>
        <w:t> </w:t>
      </w:r>
      <w:r>
        <w:rPr>
          <w:color w:val="231F20"/>
          <w:spacing w:val="-2"/>
        </w:rPr>
        <w:t>bodies:</w:t>
      </w:r>
    </w:p>
    <w:p>
      <w:pPr>
        <w:pStyle w:val="BodyText"/>
        <w:rPr>
          <w:sz w:val="30"/>
        </w:rPr>
      </w:pPr>
    </w:p>
    <w:p>
      <w:pPr>
        <w:pStyle w:val="BodyText"/>
        <w:tabs>
          <w:tab w:pos="1655" w:val="left" w:leader="none"/>
        </w:tabs>
        <w:ind w:left="1075"/>
      </w:pPr>
      <w:bookmarkStart w:name="At which a quorum of the members of the " w:id="270"/>
      <w:bookmarkEnd w:id="270"/>
      <w:r>
        <w:rPr/>
      </w:r>
      <w:r>
        <w:rPr>
          <w:color w:val="231F20"/>
          <w:u w:val="single" w:color="231F20"/>
        </w:rPr>
        <w:tab/>
      </w:r>
      <w:r>
        <w:rPr>
          <w:color w:val="231F20"/>
        </w:rPr>
        <w:t>At</w:t>
      </w:r>
      <w:r>
        <w:rPr>
          <w:color w:val="231F20"/>
          <w:spacing w:val="-1"/>
        </w:rPr>
        <w:t> </w:t>
      </w:r>
      <w:r>
        <w:rPr>
          <w:color w:val="231F20"/>
        </w:rPr>
        <w:t>which</w:t>
      </w:r>
      <w:r>
        <w:rPr>
          <w:color w:val="231F20"/>
          <w:spacing w:val="-1"/>
        </w:rPr>
        <w:t> </w:t>
      </w:r>
      <w:r>
        <w:rPr>
          <w:color w:val="231F20"/>
        </w:rPr>
        <w:t>a</w:t>
      </w:r>
      <w:r>
        <w:rPr>
          <w:color w:val="231F20"/>
          <w:spacing w:val="-2"/>
        </w:rPr>
        <w:t> </w:t>
      </w:r>
      <w:r>
        <w:rPr>
          <w:color w:val="231F20"/>
        </w:rPr>
        <w:t>quorum of</w:t>
      </w:r>
      <w:r>
        <w:rPr>
          <w:color w:val="231F20"/>
          <w:spacing w:val="-2"/>
        </w:rPr>
        <w:t> </w:t>
      </w:r>
      <w:r>
        <w:rPr>
          <w:color w:val="231F20"/>
        </w:rPr>
        <w:t>the</w:t>
      </w:r>
      <w:r>
        <w:rPr>
          <w:color w:val="231F20"/>
          <w:spacing w:val="-2"/>
        </w:rPr>
        <w:t> </w:t>
      </w:r>
      <w:r>
        <w:rPr>
          <w:color w:val="231F20"/>
        </w:rPr>
        <w:t>members of</w:t>
      </w:r>
      <w:r>
        <w:rPr>
          <w:color w:val="231F20"/>
          <w:spacing w:val="-2"/>
        </w:rPr>
        <w:t> </w:t>
      </w:r>
      <w:r>
        <w:rPr>
          <w:color w:val="231F20"/>
        </w:rPr>
        <w:t>the</w:t>
      </w:r>
      <w:r>
        <w:rPr>
          <w:color w:val="231F20"/>
          <w:spacing w:val="-2"/>
        </w:rPr>
        <w:t> </w:t>
      </w:r>
      <w:r>
        <w:rPr>
          <w:color w:val="231F20"/>
        </w:rPr>
        <w:t>public</w:t>
      </w:r>
      <w:r>
        <w:rPr>
          <w:color w:val="231F20"/>
          <w:spacing w:val="1"/>
        </w:rPr>
        <w:t> </w:t>
      </w:r>
      <w:r>
        <w:rPr>
          <w:color w:val="231F20"/>
        </w:rPr>
        <w:t>body</w:t>
      </w:r>
      <w:r>
        <w:rPr>
          <w:color w:val="231F20"/>
          <w:spacing w:val="-6"/>
        </w:rPr>
        <w:t> </w:t>
      </w:r>
      <w:r>
        <w:rPr>
          <w:color w:val="231F20"/>
        </w:rPr>
        <w:t>is</w:t>
      </w:r>
      <w:r>
        <w:rPr>
          <w:color w:val="231F20"/>
          <w:spacing w:val="-1"/>
        </w:rPr>
        <w:t> </w:t>
      </w:r>
      <w:r>
        <w:rPr>
          <w:color w:val="231F20"/>
        </w:rPr>
        <w:t>present in</w:t>
      </w:r>
      <w:r>
        <w:rPr>
          <w:color w:val="231F20"/>
          <w:spacing w:val="-1"/>
        </w:rPr>
        <w:t> </w:t>
      </w:r>
      <w:r>
        <w:rPr>
          <w:color w:val="231F20"/>
        </w:rPr>
        <w:t>person</w:t>
      </w:r>
      <w:r>
        <w:rPr>
          <w:color w:val="231F20"/>
          <w:spacing w:val="1"/>
        </w:rPr>
        <w:t> </w:t>
      </w:r>
      <w:r>
        <w:rPr>
          <w:color w:val="231F20"/>
        </w:rPr>
        <w:t>or</w:t>
      </w:r>
      <w:r>
        <w:rPr>
          <w:color w:val="231F20"/>
          <w:spacing w:val="-1"/>
        </w:rPr>
        <w:t> </w:t>
      </w:r>
      <w:r>
        <w:rPr>
          <w:color w:val="231F20"/>
        </w:rPr>
        <w:t>by</w:t>
      </w:r>
      <w:r>
        <w:rPr>
          <w:color w:val="231F20"/>
          <w:spacing w:val="-6"/>
        </w:rPr>
        <w:t> </w:t>
      </w:r>
      <w:r>
        <w:rPr>
          <w:color w:val="231F20"/>
        </w:rPr>
        <w:t>telephone;</w:t>
      </w:r>
      <w:r>
        <w:rPr>
          <w:color w:val="231F20"/>
          <w:spacing w:val="-1"/>
        </w:rPr>
        <w:t> </w:t>
      </w:r>
      <w:r>
        <w:rPr>
          <w:color w:val="231F20"/>
          <w:spacing w:val="-5"/>
          <w:u w:val="single" w:color="231F20"/>
        </w:rPr>
        <w:t>and</w:t>
      </w:r>
    </w:p>
    <w:p>
      <w:pPr>
        <w:pStyle w:val="BodyText"/>
        <w:spacing w:before="1"/>
        <w:rPr>
          <w:sz w:val="22"/>
        </w:rPr>
      </w:pPr>
    </w:p>
    <w:p>
      <w:pPr>
        <w:pStyle w:val="BodyText"/>
        <w:tabs>
          <w:tab w:pos="1675" w:val="left" w:leader="none"/>
        </w:tabs>
        <w:spacing w:before="90"/>
        <w:ind w:left="1675" w:right="1224" w:hanging="600"/>
      </w:pPr>
      <w:r>
        <w:rPr>
          <w:color w:val="231F20"/>
          <w:u w:val="single" w:color="231F20"/>
        </w:rPr>
        <w:tab/>
      </w:r>
      <w:r>
        <w:rPr>
          <w:color w:val="231F20"/>
        </w:rPr>
        <w:t>During</w:t>
      </w:r>
      <w:r>
        <w:rPr>
          <w:color w:val="231F20"/>
          <w:spacing w:val="-1"/>
        </w:rPr>
        <w:t> </w:t>
      </w:r>
      <w:r>
        <w:rPr>
          <w:color w:val="231F20"/>
        </w:rPr>
        <w:t>which the public body</w:t>
      </w:r>
      <w:r>
        <w:rPr>
          <w:color w:val="231F20"/>
          <w:spacing w:val="-3"/>
        </w:rPr>
        <w:t> </w:t>
      </w:r>
      <w:r>
        <w:rPr>
          <w:color w:val="231F20"/>
        </w:rPr>
        <w:t>will formulate public policy, discuss public business or take </w:t>
      </w:r>
      <w:r>
        <w:rPr>
          <w:color w:val="231F20"/>
          <w:spacing w:val="-2"/>
        </w:rPr>
        <w:t>action.</w:t>
      </w:r>
    </w:p>
    <w:p>
      <w:pPr>
        <w:pStyle w:val="BodyText"/>
        <w:spacing w:before="9"/>
        <w:rPr>
          <w:sz w:val="28"/>
        </w:rPr>
      </w:pPr>
    </w:p>
    <w:p>
      <w:pPr>
        <w:spacing w:line="237" w:lineRule="auto" w:before="0"/>
        <w:ind w:left="595" w:right="679" w:firstLine="0"/>
        <w:jc w:val="left"/>
        <w:rPr>
          <w:b/>
          <w:sz w:val="24"/>
        </w:rPr>
      </w:pPr>
      <w:r>
        <w:rPr>
          <w:b/>
          <w:color w:val="231F20"/>
          <w:sz w:val="24"/>
        </w:rPr>
        <w:t>If the</w:t>
      </w:r>
      <w:r>
        <w:rPr>
          <w:b/>
          <w:color w:val="231F20"/>
          <w:spacing w:val="-1"/>
          <w:sz w:val="24"/>
        </w:rPr>
        <w:t> </w:t>
      </w:r>
      <w:r>
        <w:rPr>
          <w:b/>
          <w:color w:val="231F20"/>
          <w:sz w:val="24"/>
        </w:rPr>
        <w:t>Open Meetings Act</w:t>
      </w:r>
      <w:r>
        <w:rPr>
          <w:b/>
          <w:color w:val="231F20"/>
          <w:spacing w:val="-1"/>
          <w:sz w:val="24"/>
        </w:rPr>
        <w:t> </w:t>
      </w:r>
      <w:r>
        <w:rPr>
          <w:b/>
          <w:color w:val="231F20"/>
          <w:sz w:val="24"/>
        </w:rPr>
        <w:t>applies, the</w:t>
      </w:r>
      <w:r>
        <w:rPr>
          <w:b/>
          <w:color w:val="231F20"/>
          <w:spacing w:val="-1"/>
          <w:sz w:val="24"/>
        </w:rPr>
        <w:t> </w:t>
      </w:r>
      <w:r>
        <w:rPr>
          <w:b/>
          <w:color w:val="231F20"/>
          <w:sz w:val="24"/>
        </w:rPr>
        <w:t>following</w:t>
      </w:r>
      <w:r>
        <w:rPr>
          <w:b/>
          <w:color w:val="231F20"/>
          <w:spacing w:val="-2"/>
          <w:sz w:val="24"/>
        </w:rPr>
        <w:t> </w:t>
      </w:r>
      <w:r>
        <w:rPr>
          <w:b/>
          <w:color w:val="231F20"/>
          <w:sz w:val="24"/>
        </w:rPr>
        <w:t>checklist</w:t>
      </w:r>
      <w:r>
        <w:rPr>
          <w:b/>
          <w:color w:val="231F20"/>
          <w:spacing w:val="-1"/>
          <w:sz w:val="24"/>
        </w:rPr>
        <w:t> </w:t>
      </w:r>
      <w:r>
        <w:rPr>
          <w:b/>
          <w:color w:val="231F20"/>
          <w:sz w:val="24"/>
        </w:rPr>
        <w:t>will help you</w:t>
      </w:r>
      <w:r>
        <w:rPr>
          <w:b/>
          <w:color w:val="231F20"/>
          <w:spacing w:val="-2"/>
          <w:sz w:val="24"/>
        </w:rPr>
        <w:t> </w:t>
      </w:r>
      <w:r>
        <w:rPr>
          <w:b/>
          <w:color w:val="231F20"/>
          <w:sz w:val="24"/>
        </w:rPr>
        <w:t>comply with its requirements. </w:t>
      </w:r>
      <w:r>
        <w:rPr>
          <w:b/>
          <w:color w:val="231F20"/>
          <w:sz w:val="24"/>
          <w:u w:val="thick" w:color="231F20"/>
        </w:rPr>
        <w:t>Notice Requirements (§ 10-15-1 (D) and (F))</w:t>
      </w:r>
    </w:p>
    <w:p>
      <w:pPr>
        <w:pStyle w:val="BodyText"/>
        <w:spacing w:before="9"/>
        <w:rPr>
          <w:b/>
          <w:sz w:val="15"/>
        </w:rPr>
      </w:pPr>
    </w:p>
    <w:p>
      <w:pPr>
        <w:pStyle w:val="BodyText"/>
        <w:spacing w:before="90"/>
        <w:ind w:left="595"/>
      </w:pPr>
      <w:bookmarkStart w:name="Non-emergency meetings" w:id="271"/>
      <w:bookmarkEnd w:id="271"/>
      <w:r>
        <w:rPr/>
      </w:r>
      <w:r>
        <w:rPr>
          <w:color w:val="231F20"/>
        </w:rPr>
        <w:t>Non-emergency</w:t>
      </w:r>
      <w:r>
        <w:rPr>
          <w:color w:val="231F20"/>
          <w:spacing w:val="-9"/>
        </w:rPr>
        <w:t> </w:t>
      </w:r>
      <w:r>
        <w:rPr>
          <w:color w:val="231F20"/>
          <w:spacing w:val="-2"/>
        </w:rPr>
        <w:t>meetings</w:t>
      </w:r>
    </w:p>
    <w:p>
      <w:pPr>
        <w:pStyle w:val="BodyText"/>
        <w:spacing w:before="1"/>
        <w:rPr>
          <w:sz w:val="30"/>
        </w:rPr>
      </w:pPr>
    </w:p>
    <w:p>
      <w:pPr>
        <w:pStyle w:val="BodyText"/>
        <w:tabs>
          <w:tab w:pos="1675" w:val="left" w:leader="none"/>
        </w:tabs>
        <w:ind w:left="1075"/>
      </w:pPr>
      <w:bookmarkStart w:name="Reasonable advance notice of the meeting" w:id="272"/>
      <w:bookmarkEnd w:id="272"/>
      <w:r>
        <w:rPr/>
      </w:r>
      <w:r>
        <w:rPr>
          <w:color w:val="231F20"/>
          <w:u w:val="single" w:color="231F20"/>
        </w:rPr>
        <w:tab/>
      </w:r>
      <w:r>
        <w:rPr>
          <w:color w:val="231F20"/>
        </w:rPr>
        <w:t>Reasonable</w:t>
      </w:r>
      <w:r>
        <w:rPr>
          <w:color w:val="231F20"/>
          <w:spacing w:val="-2"/>
        </w:rPr>
        <w:t> </w:t>
      </w:r>
      <w:r>
        <w:rPr>
          <w:color w:val="231F20"/>
        </w:rPr>
        <w:t>advance</w:t>
      </w:r>
      <w:r>
        <w:rPr>
          <w:color w:val="231F20"/>
          <w:spacing w:val="-1"/>
        </w:rPr>
        <w:t> </w:t>
      </w:r>
      <w:r>
        <w:rPr>
          <w:color w:val="231F20"/>
        </w:rPr>
        <w:t>notice</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meeting</w:t>
      </w:r>
      <w:r>
        <w:rPr>
          <w:color w:val="231F20"/>
          <w:spacing w:val="-3"/>
        </w:rPr>
        <w:t> </w:t>
      </w:r>
      <w:r>
        <w:rPr>
          <w:color w:val="231F20"/>
        </w:rPr>
        <w:t>has been</w:t>
      </w:r>
      <w:r>
        <w:rPr>
          <w:color w:val="231F20"/>
          <w:spacing w:val="-1"/>
        </w:rPr>
        <w:t> </w:t>
      </w:r>
      <w:r>
        <w:rPr>
          <w:color w:val="231F20"/>
        </w:rPr>
        <w:t>provided to the</w:t>
      </w:r>
      <w:r>
        <w:rPr>
          <w:color w:val="231F20"/>
          <w:spacing w:val="-2"/>
        </w:rPr>
        <w:t> </w:t>
      </w:r>
      <w:r>
        <w:rPr>
          <w:color w:val="231F20"/>
        </w:rPr>
        <w:t>public</w:t>
      </w:r>
      <w:r>
        <w:rPr>
          <w:color w:val="231F20"/>
          <w:spacing w:val="-1"/>
        </w:rPr>
        <w:t> </w:t>
      </w:r>
      <w:r>
        <w:rPr>
          <w:color w:val="231F20"/>
        </w:rPr>
        <w:t>(§ 10-15-1 </w:t>
      </w:r>
      <w:r>
        <w:rPr>
          <w:color w:val="231F20"/>
          <w:spacing w:val="-2"/>
        </w:rPr>
        <w:t>(D)).</w:t>
      </w:r>
    </w:p>
    <w:p>
      <w:pPr>
        <w:pStyle w:val="BodyText"/>
        <w:spacing w:before="3"/>
        <w:rPr>
          <w:sz w:val="22"/>
        </w:rPr>
      </w:pPr>
    </w:p>
    <w:p>
      <w:pPr>
        <w:pStyle w:val="BodyText"/>
        <w:tabs>
          <w:tab w:pos="1655" w:val="left" w:leader="none"/>
        </w:tabs>
        <w:spacing w:before="90"/>
        <w:ind w:left="1675" w:right="1241" w:hanging="600"/>
      </w:pPr>
      <w:r>
        <w:rPr>
          <w:color w:val="231F20"/>
          <w:u w:val="single" w:color="231F20"/>
        </w:rPr>
        <w:tab/>
      </w:r>
      <w:r>
        <w:rPr>
          <w:color w:val="231F20"/>
        </w:rPr>
        <w:t>The notice complies with the deadlines and procedures for meeting notices adopted by</w:t>
      </w:r>
      <w:r>
        <w:rPr>
          <w:color w:val="231F20"/>
          <w:spacing w:val="-1"/>
        </w:rPr>
        <w:t> </w:t>
      </w:r>
      <w:r>
        <w:rPr>
          <w:color w:val="231F20"/>
        </w:rPr>
        <w:t>the public body under Section 10-15-1(D) of the Open Meetings Act.</w:t>
      </w:r>
    </w:p>
    <w:p>
      <w:pPr>
        <w:pStyle w:val="BodyText"/>
        <w:spacing w:before="11"/>
        <w:rPr>
          <w:sz w:val="27"/>
        </w:rPr>
      </w:pPr>
    </w:p>
    <w:p>
      <w:pPr>
        <w:pStyle w:val="BodyText"/>
        <w:tabs>
          <w:tab w:pos="1655" w:val="left" w:leader="none"/>
        </w:tabs>
        <w:ind w:left="1075"/>
      </w:pPr>
      <w:bookmarkStart w:name="The notice includes the date, time and l" w:id="273"/>
      <w:bookmarkEnd w:id="273"/>
      <w:r>
        <w:rPr/>
      </w:r>
      <w:r>
        <w:rPr>
          <w:color w:val="231F20"/>
          <w:u w:val="single" w:color="231F20"/>
        </w:rPr>
        <w:tab/>
      </w:r>
      <w:r>
        <w:rPr>
          <w:color w:val="231F20"/>
        </w:rPr>
        <w:t>The</w:t>
      </w:r>
      <w:r>
        <w:rPr>
          <w:color w:val="231F20"/>
          <w:spacing w:val="-2"/>
        </w:rPr>
        <w:t> </w:t>
      </w:r>
      <w:r>
        <w:rPr>
          <w:color w:val="231F20"/>
        </w:rPr>
        <w:t>notice</w:t>
      </w:r>
      <w:r>
        <w:rPr>
          <w:color w:val="231F20"/>
          <w:spacing w:val="-2"/>
        </w:rPr>
        <w:t> </w:t>
      </w:r>
      <w:r>
        <w:rPr>
          <w:color w:val="231F20"/>
        </w:rPr>
        <w:t>includes</w:t>
      </w:r>
      <w:r>
        <w:rPr>
          <w:color w:val="231F20"/>
          <w:spacing w:val="-1"/>
        </w:rPr>
        <w:t> </w:t>
      </w:r>
      <w:r>
        <w:rPr>
          <w:color w:val="231F20"/>
        </w:rPr>
        <w:t>the</w:t>
      </w:r>
      <w:r>
        <w:rPr>
          <w:color w:val="231F20"/>
          <w:spacing w:val="-1"/>
        </w:rPr>
        <w:t> </w:t>
      </w:r>
      <w:r>
        <w:rPr>
          <w:color w:val="231F20"/>
        </w:rPr>
        <w:t>date,</w:t>
      </w:r>
      <w:r>
        <w:rPr>
          <w:color w:val="231F20"/>
          <w:spacing w:val="-1"/>
        </w:rPr>
        <w:t> </w:t>
      </w:r>
      <w:r>
        <w:rPr>
          <w:color w:val="231F20"/>
        </w:rPr>
        <w:t>time</w:t>
      </w:r>
      <w:r>
        <w:rPr>
          <w:color w:val="231F20"/>
          <w:spacing w:val="-2"/>
        </w:rPr>
        <w:t> </w:t>
      </w:r>
      <w:r>
        <w:rPr>
          <w:color w:val="231F20"/>
        </w:rPr>
        <w:t>and location</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spacing w:val="-2"/>
        </w:rPr>
        <w:t>meeting.</w:t>
      </w:r>
    </w:p>
    <w:p>
      <w:pPr>
        <w:pStyle w:val="BodyText"/>
        <w:spacing w:before="3"/>
        <w:rPr>
          <w:sz w:val="22"/>
        </w:rPr>
      </w:pPr>
    </w:p>
    <w:p>
      <w:pPr>
        <w:pStyle w:val="BodyText"/>
        <w:tabs>
          <w:tab w:pos="1655" w:val="left" w:leader="none"/>
        </w:tabs>
        <w:spacing w:before="90"/>
        <w:ind w:left="1075"/>
      </w:pPr>
      <w:bookmarkStart w:name="The notice is published or posted in a p" w:id="274"/>
      <w:bookmarkEnd w:id="274"/>
      <w:r>
        <w:rPr/>
      </w:r>
      <w:r>
        <w:rPr>
          <w:color w:val="231F20"/>
          <w:u w:val="single" w:color="231F20"/>
        </w:rPr>
        <w:tab/>
      </w:r>
      <w:r>
        <w:rPr>
          <w:color w:val="231F20"/>
        </w:rPr>
        <w:t>The</w:t>
      </w:r>
      <w:r>
        <w:rPr>
          <w:color w:val="231F20"/>
          <w:spacing w:val="-2"/>
        </w:rPr>
        <w:t> </w:t>
      </w:r>
      <w:r>
        <w:rPr>
          <w:color w:val="231F20"/>
        </w:rPr>
        <w:t>notice</w:t>
      </w:r>
      <w:r>
        <w:rPr>
          <w:color w:val="231F20"/>
          <w:spacing w:val="-2"/>
        </w:rPr>
        <w:t> </w:t>
      </w:r>
      <w:r>
        <w:rPr>
          <w:color w:val="231F20"/>
        </w:rPr>
        <w:t>is</w:t>
      </w:r>
      <w:r>
        <w:rPr>
          <w:color w:val="231F20"/>
          <w:spacing w:val="-1"/>
        </w:rPr>
        <w:t> </w:t>
      </w:r>
      <w:r>
        <w:rPr>
          <w:color w:val="231F20"/>
        </w:rPr>
        <w:t>published</w:t>
      </w:r>
      <w:r>
        <w:rPr>
          <w:color w:val="231F20"/>
          <w:spacing w:val="-1"/>
        </w:rPr>
        <w:t> </w:t>
      </w:r>
      <w:r>
        <w:rPr>
          <w:color w:val="231F20"/>
        </w:rPr>
        <w:t>or</w:t>
      </w:r>
      <w:r>
        <w:rPr>
          <w:color w:val="231F20"/>
          <w:spacing w:val="-2"/>
        </w:rPr>
        <w:t> </w:t>
      </w:r>
      <w:r>
        <w:rPr>
          <w:color w:val="231F20"/>
        </w:rPr>
        <w:t>posted</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place</w:t>
      </w:r>
      <w:r>
        <w:rPr>
          <w:color w:val="231F20"/>
          <w:spacing w:val="-2"/>
        </w:rPr>
        <w:t> </w:t>
      </w:r>
      <w:r>
        <w:rPr>
          <w:color w:val="231F20"/>
        </w:rPr>
        <w:t>and</w:t>
      </w:r>
      <w:r>
        <w:rPr>
          <w:color w:val="231F20"/>
          <w:spacing w:val="-1"/>
        </w:rPr>
        <w:t> </w:t>
      </w:r>
      <w:r>
        <w:rPr>
          <w:color w:val="231F20"/>
        </w:rPr>
        <w:t>manner</w:t>
      </w:r>
      <w:r>
        <w:rPr>
          <w:color w:val="231F20"/>
          <w:spacing w:val="-2"/>
        </w:rPr>
        <w:t> </w:t>
      </w:r>
      <w:r>
        <w:rPr>
          <w:color w:val="231F20"/>
        </w:rPr>
        <w:t>accessible</w:t>
      </w:r>
      <w:r>
        <w:rPr>
          <w:color w:val="231F20"/>
          <w:spacing w:val="-2"/>
        </w:rPr>
        <w:t> </w:t>
      </w:r>
      <w:r>
        <w:rPr>
          <w:color w:val="231F20"/>
        </w:rPr>
        <w:t>to</w:t>
      </w:r>
      <w:r>
        <w:rPr>
          <w:color w:val="231F20"/>
          <w:spacing w:val="-1"/>
        </w:rPr>
        <w:t> </w:t>
      </w:r>
      <w:r>
        <w:rPr>
          <w:color w:val="231F20"/>
        </w:rPr>
        <w:t>the</w:t>
      </w:r>
      <w:r>
        <w:rPr>
          <w:color w:val="231F20"/>
          <w:spacing w:val="-2"/>
        </w:rPr>
        <w:t> public.</w:t>
      </w:r>
    </w:p>
    <w:p>
      <w:pPr>
        <w:pStyle w:val="BodyText"/>
        <w:spacing w:before="2"/>
        <w:rPr>
          <w:sz w:val="22"/>
        </w:rPr>
      </w:pPr>
    </w:p>
    <w:p>
      <w:pPr>
        <w:pStyle w:val="BodyText"/>
        <w:tabs>
          <w:tab w:pos="1675" w:val="left" w:leader="none"/>
        </w:tabs>
        <w:spacing w:before="90"/>
        <w:ind w:left="1675" w:right="1159" w:hanging="600"/>
      </w:pPr>
      <w:r>
        <w:rPr>
          <w:color w:val="231F20"/>
          <w:u w:val="single" w:color="231F20"/>
        </w:rPr>
        <w:tab/>
      </w:r>
      <w:r>
        <w:rPr>
          <w:color w:val="231F20"/>
        </w:rPr>
        <w:t>Notice has been provided to all FCC licensed broadcast stations and newspapers of general circulation that have provided a written request for notice of meetings (§ 10-15-1 (D)).</w:t>
      </w:r>
    </w:p>
    <w:p>
      <w:pPr>
        <w:pStyle w:val="BodyText"/>
        <w:rPr>
          <w:sz w:val="28"/>
        </w:rPr>
      </w:pPr>
    </w:p>
    <w:p>
      <w:pPr>
        <w:pStyle w:val="BodyText"/>
        <w:tabs>
          <w:tab w:pos="1655" w:val="left" w:leader="none"/>
        </w:tabs>
        <w:ind w:left="1675" w:right="1315" w:hanging="600"/>
      </w:pPr>
      <w:r>
        <w:rPr>
          <w:color w:val="231F20"/>
          <w:u w:val="single" w:color="231F20"/>
        </w:rPr>
        <w:tab/>
      </w:r>
      <w:r>
        <w:rPr>
          <w:color w:val="231F20"/>
        </w:rPr>
        <w:t>The notice includes an agenda or information on how the public may</w:t>
      </w:r>
      <w:r>
        <w:rPr>
          <w:color w:val="231F20"/>
          <w:spacing w:val="-1"/>
        </w:rPr>
        <w:t> </w:t>
      </w:r>
      <w:r>
        <w:rPr>
          <w:color w:val="231F20"/>
        </w:rPr>
        <w:t>obtain a copy</w:t>
      </w:r>
      <w:r>
        <w:rPr>
          <w:color w:val="231F20"/>
          <w:spacing w:val="-1"/>
        </w:rPr>
        <w:t> </w:t>
      </w:r>
      <w:r>
        <w:rPr>
          <w:color w:val="231F20"/>
        </w:rPr>
        <w:t>of the agenda (§ 10-15-1 (F)).</w:t>
      </w:r>
    </w:p>
    <w:p>
      <w:pPr>
        <w:pStyle w:val="BodyText"/>
        <w:spacing w:before="11"/>
        <w:rPr>
          <w:sz w:val="27"/>
        </w:rPr>
      </w:pPr>
    </w:p>
    <w:p>
      <w:pPr>
        <w:pStyle w:val="BodyText"/>
        <w:ind w:left="595"/>
      </w:pPr>
      <w:bookmarkStart w:name="Emergency Meetings" w:id="275"/>
      <w:bookmarkEnd w:id="275"/>
      <w:r>
        <w:rPr/>
      </w:r>
      <w:r>
        <w:rPr>
          <w:color w:val="231F20"/>
        </w:rPr>
        <w:t>Emergency</w:t>
      </w:r>
      <w:r>
        <w:rPr>
          <w:color w:val="231F20"/>
          <w:spacing w:val="-7"/>
        </w:rPr>
        <w:t> </w:t>
      </w:r>
      <w:r>
        <w:rPr>
          <w:color w:val="231F20"/>
          <w:spacing w:val="-2"/>
        </w:rPr>
        <w:t>Meetings</w:t>
      </w:r>
    </w:p>
    <w:p>
      <w:pPr>
        <w:pStyle w:val="BodyText"/>
        <w:spacing w:before="1"/>
        <w:rPr>
          <w:sz w:val="30"/>
        </w:rPr>
      </w:pPr>
    </w:p>
    <w:p>
      <w:pPr>
        <w:pStyle w:val="BodyText"/>
        <w:ind w:left="595"/>
      </w:pPr>
      <w:r>
        <w:rPr>
          <w:color w:val="231F20"/>
        </w:rPr>
        <w:t>Under</w:t>
      </w:r>
      <w:r>
        <w:rPr>
          <w:color w:val="231F20"/>
          <w:spacing w:val="-3"/>
        </w:rPr>
        <w:t> </w:t>
      </w:r>
      <w:r>
        <w:rPr>
          <w:color w:val="231F20"/>
        </w:rPr>
        <w:t>limited</w:t>
      </w:r>
      <w:r>
        <w:rPr>
          <w:color w:val="231F20"/>
          <w:spacing w:val="-1"/>
        </w:rPr>
        <w:t> </w:t>
      </w:r>
      <w:r>
        <w:rPr>
          <w:color w:val="231F20"/>
        </w:rPr>
        <w:t>circumstances,</w:t>
      </w:r>
      <w:r>
        <w:rPr>
          <w:color w:val="231F20"/>
          <w:spacing w:val="-2"/>
        </w:rPr>
        <w:t> </w:t>
      </w:r>
      <w:r>
        <w:rPr>
          <w:color w:val="231F20"/>
        </w:rPr>
        <w:t>an</w:t>
      </w:r>
      <w:r>
        <w:rPr>
          <w:color w:val="231F20"/>
          <w:spacing w:val="-2"/>
        </w:rPr>
        <w:t> </w:t>
      </w:r>
      <w:r>
        <w:rPr>
          <w:color w:val="231F20"/>
        </w:rPr>
        <w:t>emergency</w:t>
      </w:r>
      <w:r>
        <w:rPr>
          <w:color w:val="231F20"/>
          <w:spacing w:val="-6"/>
        </w:rPr>
        <w:t> </w:t>
      </w:r>
      <w:r>
        <w:rPr>
          <w:color w:val="231F20"/>
        </w:rPr>
        <w:t>meeting</w:t>
      </w:r>
      <w:r>
        <w:rPr>
          <w:color w:val="231F20"/>
          <w:spacing w:val="-4"/>
        </w:rPr>
        <w:t> </w:t>
      </w:r>
      <w:r>
        <w:rPr>
          <w:color w:val="231F20"/>
        </w:rPr>
        <w:t>may</w:t>
      </w:r>
      <w:r>
        <w:rPr>
          <w:color w:val="231F20"/>
          <w:spacing w:val="-6"/>
        </w:rPr>
        <w:t> </w:t>
      </w:r>
      <w:r>
        <w:rPr>
          <w:color w:val="231F20"/>
        </w:rPr>
        <w:t>be</w:t>
      </w:r>
      <w:r>
        <w:rPr>
          <w:color w:val="231F20"/>
          <w:spacing w:val="-3"/>
        </w:rPr>
        <w:t> </w:t>
      </w:r>
      <w:r>
        <w:rPr>
          <w:color w:val="231F20"/>
        </w:rPr>
        <w:t>held</w:t>
      </w:r>
      <w:r>
        <w:rPr>
          <w:color w:val="231F20"/>
          <w:spacing w:val="-1"/>
        </w:rPr>
        <w:t> </w:t>
      </w:r>
      <w:r>
        <w:rPr>
          <w:color w:val="231F20"/>
        </w:rPr>
        <w:t>with</w:t>
      </w:r>
      <w:r>
        <w:rPr>
          <w:color w:val="231F20"/>
          <w:spacing w:val="-1"/>
        </w:rPr>
        <w:t> </w:t>
      </w:r>
      <w:r>
        <w:rPr>
          <w:color w:val="231F20"/>
        </w:rPr>
        <w:t>little</w:t>
      </w:r>
      <w:r>
        <w:rPr>
          <w:color w:val="231F20"/>
          <w:spacing w:val="-2"/>
        </w:rPr>
        <w:t> </w:t>
      </w:r>
      <w:r>
        <w:rPr>
          <w:color w:val="231F20"/>
        </w:rPr>
        <w:t>advance</w:t>
      </w:r>
      <w:r>
        <w:rPr>
          <w:color w:val="231F20"/>
          <w:spacing w:val="-3"/>
        </w:rPr>
        <w:t> </w:t>
      </w:r>
      <w:r>
        <w:rPr>
          <w:color w:val="231F20"/>
        </w:rPr>
        <w:t>notice</w:t>
      </w:r>
      <w:r>
        <w:rPr>
          <w:color w:val="231F20"/>
          <w:spacing w:val="-2"/>
        </w:rPr>
        <w:t> </w:t>
      </w:r>
      <w:r>
        <w:rPr>
          <w:color w:val="231F20"/>
          <w:spacing w:val="-5"/>
        </w:rPr>
        <w:t>if:</w:t>
      </w:r>
    </w:p>
    <w:p>
      <w:pPr>
        <w:pStyle w:val="BodyText"/>
        <w:spacing w:before="9"/>
        <w:rPr>
          <w:sz w:val="29"/>
        </w:rPr>
      </w:pPr>
    </w:p>
    <w:p>
      <w:pPr>
        <w:pStyle w:val="BodyText"/>
        <w:tabs>
          <w:tab w:pos="1655" w:val="left" w:leader="none"/>
        </w:tabs>
        <w:ind w:left="1075"/>
      </w:pPr>
      <w:bookmarkStart w:name="The public body did not expect the circu" w:id="276"/>
      <w:bookmarkEnd w:id="276"/>
      <w:r>
        <w:rPr/>
      </w:r>
      <w:r>
        <w:rPr>
          <w:color w:val="231F20"/>
          <w:u w:val="single" w:color="231F20"/>
        </w:rPr>
        <w:tab/>
      </w:r>
      <w:r>
        <w:rPr>
          <w:color w:val="231F20"/>
        </w:rPr>
        <w:t>The</w:t>
      </w:r>
      <w:r>
        <w:rPr>
          <w:color w:val="231F20"/>
          <w:spacing w:val="-2"/>
        </w:rPr>
        <w:t> </w:t>
      </w:r>
      <w:r>
        <w:rPr>
          <w:color w:val="231F20"/>
        </w:rPr>
        <w:t>public</w:t>
      </w:r>
      <w:r>
        <w:rPr>
          <w:color w:val="231F20"/>
          <w:spacing w:val="-2"/>
        </w:rPr>
        <w:t> </w:t>
      </w:r>
      <w:r>
        <w:rPr>
          <w:color w:val="231F20"/>
        </w:rPr>
        <w:t>body</w:t>
      </w:r>
      <w:r>
        <w:rPr>
          <w:color w:val="231F20"/>
          <w:spacing w:val="-6"/>
        </w:rPr>
        <w:t> </w:t>
      </w:r>
      <w:r>
        <w:rPr>
          <w:color w:val="231F20"/>
        </w:rPr>
        <w:t>did</w:t>
      </w:r>
      <w:r>
        <w:rPr>
          <w:color w:val="231F20"/>
          <w:spacing w:val="-1"/>
        </w:rPr>
        <w:t> </w:t>
      </w:r>
      <w:r>
        <w:rPr>
          <w:color w:val="231F20"/>
        </w:rPr>
        <w:t>not</w:t>
      </w:r>
      <w:r>
        <w:rPr>
          <w:color w:val="231F20"/>
          <w:spacing w:val="1"/>
        </w:rPr>
        <w:t> </w:t>
      </w:r>
      <w:r>
        <w:rPr>
          <w:color w:val="231F20"/>
        </w:rPr>
        <w:t>expect</w:t>
      </w:r>
      <w:r>
        <w:rPr>
          <w:color w:val="231F20"/>
          <w:spacing w:val="-1"/>
        </w:rPr>
        <w:t> </w:t>
      </w:r>
      <w:r>
        <w:rPr>
          <w:color w:val="231F20"/>
        </w:rPr>
        <w:t>the</w:t>
      </w:r>
      <w:r>
        <w:rPr>
          <w:color w:val="231F20"/>
          <w:spacing w:val="-2"/>
        </w:rPr>
        <w:t> </w:t>
      </w:r>
      <w:r>
        <w:rPr>
          <w:color w:val="231F20"/>
        </w:rPr>
        <w:t>circumstances</w:t>
      </w:r>
      <w:r>
        <w:rPr>
          <w:color w:val="231F20"/>
          <w:spacing w:val="1"/>
        </w:rPr>
        <w:t> </w:t>
      </w:r>
      <w:r>
        <w:rPr>
          <w:color w:val="231F20"/>
        </w:rPr>
        <w:t>giving</w:t>
      </w:r>
      <w:r>
        <w:rPr>
          <w:color w:val="231F20"/>
          <w:spacing w:val="-4"/>
        </w:rPr>
        <w:t> </w:t>
      </w:r>
      <w:r>
        <w:rPr>
          <w:color w:val="231F20"/>
        </w:rPr>
        <w:t>rise</w:t>
      </w:r>
      <w:r>
        <w:rPr>
          <w:color w:val="231F20"/>
          <w:spacing w:val="-2"/>
        </w:rPr>
        <w:t> </w:t>
      </w:r>
      <w:r>
        <w:rPr>
          <w:color w:val="231F20"/>
        </w:rPr>
        <w:t>to the</w:t>
      </w:r>
      <w:r>
        <w:rPr>
          <w:color w:val="231F20"/>
          <w:spacing w:val="-2"/>
        </w:rPr>
        <w:t> </w:t>
      </w:r>
      <w:r>
        <w:rPr>
          <w:color w:val="231F20"/>
        </w:rPr>
        <w:t>meeting;</w:t>
      </w:r>
      <w:r>
        <w:rPr>
          <w:color w:val="231F20"/>
          <w:spacing w:val="-1"/>
        </w:rPr>
        <w:t> </w:t>
      </w:r>
      <w:r>
        <w:rPr>
          <w:color w:val="231F20"/>
          <w:spacing w:val="-5"/>
          <w:u w:val="single" w:color="231F20"/>
        </w:rPr>
        <w:t>and</w:t>
      </w:r>
    </w:p>
    <w:p>
      <w:pPr>
        <w:pStyle w:val="BodyText"/>
        <w:spacing w:before="3"/>
        <w:rPr>
          <w:sz w:val="22"/>
        </w:rPr>
      </w:pPr>
    </w:p>
    <w:p>
      <w:pPr>
        <w:pStyle w:val="BodyText"/>
        <w:tabs>
          <w:tab w:pos="1675" w:val="left" w:leader="none"/>
        </w:tabs>
        <w:spacing w:before="90"/>
        <w:ind w:left="1675" w:right="1543" w:hanging="600"/>
      </w:pPr>
      <w:r>
        <w:rPr>
          <w:color w:val="231F20"/>
          <w:u w:val="single" w:color="231F20"/>
        </w:rPr>
        <w:tab/>
      </w:r>
      <w:r>
        <w:rPr>
          <w:color w:val="231F20"/>
        </w:rPr>
        <w:t>If the public body</w:t>
      </w:r>
      <w:r>
        <w:rPr>
          <w:color w:val="231F20"/>
          <w:spacing w:val="-4"/>
        </w:rPr>
        <w:t> </w:t>
      </w:r>
      <w:r>
        <w:rPr>
          <w:color w:val="231F20"/>
        </w:rPr>
        <w:t>does not act immediately, injury</w:t>
      </w:r>
      <w:r>
        <w:rPr>
          <w:color w:val="231F20"/>
          <w:spacing w:val="-1"/>
        </w:rPr>
        <w:t> </w:t>
      </w:r>
      <w:r>
        <w:rPr>
          <w:color w:val="231F20"/>
        </w:rPr>
        <w:t>or damage to persons or property</w:t>
      </w:r>
      <w:r>
        <w:rPr>
          <w:color w:val="231F20"/>
          <w:spacing w:val="-4"/>
        </w:rPr>
        <w:t> </w:t>
      </w:r>
      <w:r>
        <w:rPr>
          <w:color w:val="231F20"/>
        </w:rPr>
        <w:t>or substantial financial loss to the public body is likely.</w:t>
      </w:r>
    </w:p>
    <w:p>
      <w:pPr>
        <w:spacing w:after="0"/>
        <w:sectPr>
          <w:pgSz w:w="12240" w:h="15840"/>
          <w:pgMar w:header="660" w:footer="484" w:top="960" w:bottom="900" w:left="360" w:right="240"/>
        </w:sectPr>
      </w:pPr>
    </w:p>
    <w:p>
      <w:pPr>
        <w:pStyle w:val="BodyText"/>
        <w:rPr>
          <w:sz w:val="20"/>
        </w:rPr>
      </w:pPr>
    </w:p>
    <w:p>
      <w:pPr>
        <w:pStyle w:val="BodyText"/>
        <w:spacing w:before="1"/>
        <w:rPr>
          <w:sz w:val="20"/>
        </w:rPr>
      </w:pPr>
    </w:p>
    <w:p>
      <w:pPr>
        <w:spacing w:before="90"/>
        <w:ind w:left="1075" w:right="0" w:firstLine="0"/>
        <w:jc w:val="left"/>
        <w:rPr>
          <w:b/>
          <w:sz w:val="24"/>
        </w:rPr>
      </w:pPr>
      <w:bookmarkStart w:name="Meeting Agenda (§ 10-15-1 (F))" w:id="277"/>
      <w:bookmarkEnd w:id="277"/>
      <w:r>
        <w:rPr/>
      </w:r>
      <w:r>
        <w:rPr>
          <w:b/>
          <w:color w:val="231F20"/>
          <w:sz w:val="24"/>
          <w:u w:val="thick" w:color="231F20"/>
        </w:rPr>
        <w:t>Meeting</w:t>
      </w:r>
      <w:r>
        <w:rPr>
          <w:b/>
          <w:color w:val="231F20"/>
          <w:spacing w:val="-4"/>
          <w:sz w:val="24"/>
          <w:u w:val="thick" w:color="231F20"/>
        </w:rPr>
        <w:t> </w:t>
      </w:r>
      <w:r>
        <w:rPr>
          <w:b/>
          <w:color w:val="231F20"/>
          <w:sz w:val="24"/>
          <w:u w:val="thick" w:color="231F20"/>
        </w:rPr>
        <w:t>Agenda</w:t>
      </w:r>
      <w:r>
        <w:rPr>
          <w:b/>
          <w:color w:val="231F20"/>
          <w:spacing w:val="-3"/>
          <w:sz w:val="24"/>
          <w:u w:val="thick" w:color="231F20"/>
        </w:rPr>
        <w:t> </w:t>
      </w:r>
      <w:r>
        <w:rPr>
          <w:b/>
          <w:color w:val="231F20"/>
          <w:sz w:val="24"/>
          <w:u w:val="thick" w:color="231F20"/>
        </w:rPr>
        <w:t>(§</w:t>
      </w:r>
      <w:r>
        <w:rPr>
          <w:b/>
          <w:color w:val="231F20"/>
          <w:spacing w:val="-4"/>
          <w:sz w:val="24"/>
          <w:u w:val="thick" w:color="231F20"/>
        </w:rPr>
        <w:t> </w:t>
      </w:r>
      <w:r>
        <w:rPr>
          <w:b/>
          <w:color w:val="231F20"/>
          <w:sz w:val="24"/>
          <w:u w:val="thick" w:color="231F20"/>
        </w:rPr>
        <w:t>10-15-1</w:t>
      </w:r>
      <w:r>
        <w:rPr>
          <w:b/>
          <w:color w:val="231F20"/>
          <w:spacing w:val="-3"/>
          <w:sz w:val="24"/>
          <w:u w:val="thick" w:color="231F20"/>
        </w:rPr>
        <w:t> </w:t>
      </w:r>
      <w:r>
        <w:rPr>
          <w:b/>
          <w:color w:val="231F20"/>
          <w:spacing w:val="-4"/>
          <w:sz w:val="24"/>
          <w:u w:val="thick" w:color="231F20"/>
        </w:rPr>
        <w:t>(F))</w:t>
      </w:r>
    </w:p>
    <w:p>
      <w:pPr>
        <w:pStyle w:val="BodyText"/>
        <w:spacing w:before="9"/>
        <w:rPr>
          <w:b/>
          <w:sz w:val="21"/>
        </w:rPr>
      </w:pPr>
    </w:p>
    <w:p>
      <w:pPr>
        <w:pStyle w:val="BodyText"/>
        <w:spacing w:before="90"/>
        <w:ind w:left="1075"/>
      </w:pPr>
      <w:r>
        <w:rPr>
          <w:color w:val="231F20"/>
        </w:rPr>
        <w:t>The</w:t>
      </w:r>
      <w:r>
        <w:rPr>
          <w:color w:val="231F20"/>
          <w:spacing w:val="-2"/>
        </w:rPr>
        <w:t> </w:t>
      </w:r>
      <w:r>
        <w:rPr>
          <w:color w:val="231F20"/>
        </w:rPr>
        <w:t>meeting</w:t>
      </w:r>
      <w:r>
        <w:rPr>
          <w:color w:val="231F20"/>
          <w:spacing w:val="-4"/>
        </w:rPr>
        <w:t> </w:t>
      </w:r>
      <w:r>
        <w:rPr>
          <w:color w:val="231F20"/>
        </w:rPr>
        <w:t>agenda</w:t>
      </w:r>
      <w:r>
        <w:rPr>
          <w:color w:val="231F20"/>
          <w:spacing w:val="-1"/>
        </w:rPr>
        <w:t> </w:t>
      </w:r>
      <w:r>
        <w:rPr>
          <w:color w:val="231F20"/>
          <w:spacing w:val="-2"/>
        </w:rPr>
        <w:t>should:</w:t>
      </w:r>
    </w:p>
    <w:p>
      <w:pPr>
        <w:pStyle w:val="BodyText"/>
        <w:spacing w:before="10"/>
        <w:rPr>
          <w:sz w:val="29"/>
        </w:rPr>
      </w:pPr>
    </w:p>
    <w:p>
      <w:pPr>
        <w:pStyle w:val="BodyText"/>
        <w:tabs>
          <w:tab w:pos="2155" w:val="left" w:leader="none"/>
        </w:tabs>
        <w:ind w:left="1555"/>
      </w:pPr>
      <w:bookmarkStart w:name="Include a list of specific items the pub" w:id="278"/>
      <w:bookmarkEnd w:id="278"/>
      <w:r>
        <w:rPr/>
      </w:r>
      <w:r>
        <w:rPr>
          <w:color w:val="231F20"/>
          <w:u w:val="single" w:color="231F20"/>
        </w:rPr>
        <w:tab/>
      </w:r>
      <w:r>
        <w:rPr>
          <w:color w:val="231F20"/>
        </w:rPr>
        <w:t>Include</w:t>
      </w:r>
      <w:r>
        <w:rPr>
          <w:color w:val="231F20"/>
          <w:spacing w:val="-3"/>
        </w:rPr>
        <w:t> </w:t>
      </w:r>
      <w:r>
        <w:rPr>
          <w:color w:val="231F20"/>
        </w:rPr>
        <w:t>a</w:t>
      </w:r>
      <w:r>
        <w:rPr>
          <w:color w:val="231F20"/>
          <w:spacing w:val="-2"/>
        </w:rPr>
        <w:t> </w:t>
      </w:r>
      <w:r>
        <w:rPr>
          <w:color w:val="231F20"/>
        </w:rPr>
        <w:t>list</w:t>
      </w:r>
      <w:r>
        <w:rPr>
          <w:color w:val="231F20"/>
          <w:spacing w:val="-1"/>
        </w:rPr>
        <w:t> </w:t>
      </w:r>
      <w:r>
        <w:rPr>
          <w:color w:val="231F20"/>
        </w:rPr>
        <w:t>of</w:t>
      </w:r>
      <w:r>
        <w:rPr>
          <w:color w:val="231F20"/>
          <w:spacing w:val="-2"/>
        </w:rPr>
        <w:t> </w:t>
      </w:r>
      <w:r>
        <w:rPr>
          <w:color w:val="231F20"/>
        </w:rPr>
        <w:t>specific</w:t>
      </w:r>
      <w:r>
        <w:rPr>
          <w:color w:val="231F20"/>
          <w:spacing w:val="-2"/>
        </w:rPr>
        <w:t> </w:t>
      </w:r>
      <w:r>
        <w:rPr>
          <w:color w:val="231F20"/>
        </w:rPr>
        <w:t>items</w:t>
      </w:r>
      <w:r>
        <w:rPr>
          <w:color w:val="231F20"/>
          <w:spacing w:val="-1"/>
        </w:rPr>
        <w:t> </w:t>
      </w:r>
      <w:r>
        <w:rPr>
          <w:color w:val="231F20"/>
        </w:rPr>
        <w:t>the</w:t>
      </w:r>
      <w:r>
        <w:rPr>
          <w:color w:val="231F20"/>
          <w:spacing w:val="-2"/>
        </w:rPr>
        <w:t> </w:t>
      </w:r>
      <w:r>
        <w:rPr>
          <w:color w:val="231F20"/>
        </w:rPr>
        <w:t>public</w:t>
      </w:r>
      <w:r>
        <w:rPr>
          <w:color w:val="231F20"/>
          <w:spacing w:val="-2"/>
        </w:rPr>
        <w:t> </w:t>
      </w:r>
      <w:r>
        <w:rPr>
          <w:color w:val="231F20"/>
        </w:rPr>
        <w:t>body</w:t>
      </w:r>
      <w:r>
        <w:rPr>
          <w:color w:val="231F20"/>
          <w:spacing w:val="-6"/>
        </w:rPr>
        <w:t> </w:t>
      </w:r>
      <w:r>
        <w:rPr>
          <w:color w:val="231F20"/>
        </w:rPr>
        <w:t>intends</w:t>
      </w:r>
      <w:r>
        <w:rPr>
          <w:color w:val="231F20"/>
          <w:spacing w:val="-1"/>
        </w:rPr>
        <w:t> </w:t>
      </w:r>
      <w:r>
        <w:rPr>
          <w:color w:val="231F20"/>
        </w:rPr>
        <w:t>to</w:t>
      </w:r>
      <w:r>
        <w:rPr>
          <w:color w:val="231F20"/>
          <w:spacing w:val="-1"/>
        </w:rPr>
        <w:t> </w:t>
      </w:r>
      <w:r>
        <w:rPr>
          <w:color w:val="231F20"/>
        </w:rPr>
        <w:t>discuss</w:t>
      </w:r>
      <w:r>
        <w:rPr>
          <w:color w:val="231F20"/>
          <w:spacing w:val="-1"/>
        </w:rPr>
        <w:t> </w:t>
      </w:r>
      <w:r>
        <w:rPr>
          <w:color w:val="231F20"/>
        </w:rPr>
        <w:t>or</w:t>
      </w:r>
      <w:r>
        <w:rPr>
          <w:color w:val="231F20"/>
          <w:spacing w:val="-3"/>
        </w:rPr>
        <w:t> </w:t>
      </w:r>
      <w:r>
        <w:rPr>
          <w:color w:val="231F20"/>
        </w:rPr>
        <w:t>transact</w:t>
      </w:r>
      <w:r>
        <w:rPr>
          <w:color w:val="231F20"/>
          <w:spacing w:val="1"/>
        </w:rPr>
        <w:t> </w:t>
      </w:r>
      <w:r>
        <w:rPr>
          <w:color w:val="231F20"/>
        </w:rPr>
        <w:t>at</w:t>
      </w:r>
      <w:r>
        <w:rPr>
          <w:color w:val="231F20"/>
          <w:spacing w:val="-1"/>
        </w:rPr>
        <w:t> </w:t>
      </w:r>
      <w:r>
        <w:rPr>
          <w:color w:val="231F20"/>
        </w:rPr>
        <w:t>the</w:t>
      </w:r>
      <w:r>
        <w:rPr>
          <w:color w:val="231F20"/>
          <w:spacing w:val="-2"/>
        </w:rPr>
        <w:t> meeting.</w:t>
      </w:r>
    </w:p>
    <w:p>
      <w:pPr>
        <w:pStyle w:val="BodyText"/>
        <w:spacing w:before="3"/>
        <w:rPr>
          <w:sz w:val="22"/>
        </w:rPr>
      </w:pPr>
    </w:p>
    <w:p>
      <w:pPr>
        <w:pStyle w:val="BodyText"/>
        <w:tabs>
          <w:tab w:pos="2155" w:val="left" w:leader="none"/>
        </w:tabs>
        <w:spacing w:before="90"/>
        <w:ind w:left="2155" w:right="864" w:hanging="600"/>
      </w:pPr>
      <w:r>
        <w:rPr>
          <w:color w:val="231F20"/>
          <w:u w:val="single" w:color="231F20"/>
        </w:rPr>
        <w:tab/>
      </w:r>
      <w:r>
        <w:rPr>
          <w:color w:val="231F20"/>
        </w:rPr>
        <w:t>Clearly</w:t>
      </w:r>
      <w:r>
        <w:rPr>
          <w:color w:val="231F20"/>
          <w:spacing w:val="-2"/>
        </w:rPr>
        <w:t> </w:t>
      </w:r>
      <w:r>
        <w:rPr>
          <w:color w:val="231F20"/>
        </w:rPr>
        <w:t>describe agenda items that the public body intends to discuss or act on during the meeting in order to give adequate public notice.</w:t>
      </w:r>
    </w:p>
    <w:p>
      <w:pPr>
        <w:pStyle w:val="BodyText"/>
        <w:spacing w:before="11"/>
        <w:rPr>
          <w:sz w:val="27"/>
        </w:rPr>
      </w:pPr>
    </w:p>
    <w:p>
      <w:pPr>
        <w:pStyle w:val="BodyText"/>
        <w:tabs>
          <w:tab w:pos="2155" w:val="left" w:leader="none"/>
        </w:tabs>
        <w:ind w:left="2155" w:right="324" w:hanging="600"/>
      </w:pPr>
      <w:r>
        <w:rPr>
          <w:color w:val="231F20"/>
          <w:u w:val="single" w:color="231F20"/>
        </w:rPr>
        <w:tab/>
      </w:r>
      <w:r>
        <w:rPr>
          <w:color w:val="231F20"/>
        </w:rPr>
        <w:t>Except for an emergency</w:t>
      </w:r>
      <w:r>
        <w:rPr>
          <w:color w:val="231F20"/>
          <w:spacing w:val="-1"/>
        </w:rPr>
        <w:t> </w:t>
      </w:r>
      <w:r>
        <w:rPr>
          <w:color w:val="231F20"/>
        </w:rPr>
        <w:t>meeting, the agenda is available to the public at least 72 hours before the meeting.</w:t>
      </w:r>
    </w:p>
    <w:p>
      <w:pPr>
        <w:pStyle w:val="BodyText"/>
        <w:spacing w:before="11"/>
        <w:rPr>
          <w:sz w:val="27"/>
        </w:rPr>
      </w:pPr>
    </w:p>
    <w:p>
      <w:pPr>
        <w:pStyle w:val="BodyText"/>
        <w:tabs>
          <w:tab w:pos="2155" w:val="left" w:leader="none"/>
        </w:tabs>
        <w:ind w:left="2155" w:right="632" w:hanging="600"/>
      </w:pPr>
      <w:r>
        <w:rPr>
          <w:color w:val="231F20"/>
          <w:u w:val="single" w:color="231F20"/>
        </w:rPr>
        <w:tab/>
      </w:r>
      <w:r>
        <w:rPr>
          <w:color w:val="231F20"/>
        </w:rPr>
        <w:t>Except for emergency</w:t>
      </w:r>
      <w:r>
        <w:rPr>
          <w:color w:val="231F20"/>
          <w:spacing w:val="-2"/>
        </w:rPr>
        <w:t> </w:t>
      </w:r>
      <w:r>
        <w:rPr>
          <w:color w:val="231F20"/>
        </w:rPr>
        <w:t>matters, the public body</w:t>
      </w:r>
      <w:r>
        <w:rPr>
          <w:color w:val="231F20"/>
          <w:spacing w:val="-5"/>
        </w:rPr>
        <w:t> </w:t>
      </w:r>
      <w:r>
        <w:rPr>
          <w:color w:val="231F20"/>
        </w:rPr>
        <w:t>takes action only</w:t>
      </w:r>
      <w:r>
        <w:rPr>
          <w:color w:val="231F20"/>
          <w:spacing w:val="-5"/>
        </w:rPr>
        <w:t> </w:t>
      </w:r>
      <w:r>
        <w:rPr>
          <w:color w:val="231F20"/>
        </w:rPr>
        <w:t>on those items specifically listed on the agenda 72 hours before the meeting.</w:t>
      </w:r>
    </w:p>
    <w:p>
      <w:pPr>
        <w:pStyle w:val="BodyText"/>
        <w:spacing w:before="4"/>
        <w:rPr>
          <w:sz w:val="28"/>
        </w:rPr>
      </w:pPr>
    </w:p>
    <w:p>
      <w:pPr>
        <w:spacing w:before="0"/>
        <w:ind w:left="1075" w:right="0" w:firstLine="0"/>
        <w:jc w:val="left"/>
        <w:rPr>
          <w:b/>
          <w:sz w:val="24"/>
        </w:rPr>
      </w:pPr>
      <w:bookmarkStart w:name="Telephonic Participation (§ 10-15-1 (C))" w:id="279"/>
      <w:bookmarkEnd w:id="279"/>
      <w:r>
        <w:rPr/>
      </w:r>
      <w:r>
        <w:rPr>
          <w:b/>
          <w:color w:val="231F20"/>
          <w:sz w:val="24"/>
          <w:u w:val="thick" w:color="231F20"/>
        </w:rPr>
        <w:t>Telephonic</w:t>
      </w:r>
      <w:r>
        <w:rPr>
          <w:b/>
          <w:color w:val="231F20"/>
          <w:spacing w:val="-6"/>
          <w:sz w:val="24"/>
          <w:u w:val="thick" w:color="231F20"/>
        </w:rPr>
        <w:t> </w:t>
      </w:r>
      <w:r>
        <w:rPr>
          <w:b/>
          <w:color w:val="231F20"/>
          <w:sz w:val="24"/>
          <w:u w:val="thick" w:color="231F20"/>
        </w:rPr>
        <w:t>Participation</w:t>
      </w:r>
      <w:r>
        <w:rPr>
          <w:b/>
          <w:color w:val="231F20"/>
          <w:spacing w:val="-4"/>
          <w:sz w:val="24"/>
          <w:u w:val="thick" w:color="231F20"/>
        </w:rPr>
        <w:t> </w:t>
      </w:r>
      <w:r>
        <w:rPr>
          <w:b/>
          <w:color w:val="231F20"/>
          <w:sz w:val="24"/>
          <w:u w:val="thick" w:color="231F20"/>
        </w:rPr>
        <w:t>(§</w:t>
      </w:r>
      <w:r>
        <w:rPr>
          <w:b/>
          <w:color w:val="231F20"/>
          <w:spacing w:val="-5"/>
          <w:sz w:val="24"/>
          <w:u w:val="thick" w:color="231F20"/>
        </w:rPr>
        <w:t> </w:t>
      </w:r>
      <w:r>
        <w:rPr>
          <w:b/>
          <w:color w:val="231F20"/>
          <w:sz w:val="24"/>
          <w:u w:val="thick" w:color="231F20"/>
        </w:rPr>
        <w:t>10-15-1</w:t>
      </w:r>
      <w:r>
        <w:rPr>
          <w:b/>
          <w:color w:val="231F20"/>
          <w:spacing w:val="-4"/>
          <w:sz w:val="24"/>
          <w:u w:val="thick" w:color="231F20"/>
        </w:rPr>
        <w:t> (C))</w:t>
      </w:r>
    </w:p>
    <w:p>
      <w:pPr>
        <w:pStyle w:val="BodyText"/>
        <w:spacing w:before="10"/>
        <w:rPr>
          <w:b/>
          <w:sz w:val="21"/>
        </w:rPr>
      </w:pPr>
    </w:p>
    <w:p>
      <w:pPr>
        <w:pStyle w:val="BodyText"/>
        <w:spacing w:before="90"/>
        <w:ind w:left="1075"/>
      </w:pPr>
      <w:r>
        <w:rPr>
          <w:color w:val="231F20"/>
        </w:rPr>
        <w:t>If</w:t>
      </w:r>
      <w:r>
        <w:rPr>
          <w:color w:val="231F20"/>
          <w:spacing w:val="-3"/>
        </w:rPr>
        <w:t> </w:t>
      </w:r>
      <w:r>
        <w:rPr>
          <w:color w:val="231F20"/>
        </w:rPr>
        <w:t>a</w:t>
      </w:r>
      <w:r>
        <w:rPr>
          <w:color w:val="231F20"/>
          <w:spacing w:val="-5"/>
        </w:rPr>
        <w:t> </w:t>
      </w:r>
      <w:r>
        <w:rPr>
          <w:color w:val="231F20"/>
        </w:rPr>
        <w:t>member</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public</w:t>
      </w:r>
      <w:r>
        <w:rPr>
          <w:color w:val="231F20"/>
          <w:spacing w:val="-2"/>
        </w:rPr>
        <w:t> </w:t>
      </w:r>
      <w:r>
        <w:rPr>
          <w:color w:val="231F20"/>
        </w:rPr>
        <w:t>body</w:t>
      </w:r>
      <w:r>
        <w:rPr>
          <w:color w:val="231F20"/>
          <w:spacing w:val="-9"/>
        </w:rPr>
        <w:t> </w:t>
      </w:r>
      <w:r>
        <w:rPr>
          <w:color w:val="231F20"/>
        </w:rPr>
        <w:t>participates</w:t>
      </w:r>
      <w:r>
        <w:rPr>
          <w:color w:val="231F20"/>
          <w:spacing w:val="-3"/>
        </w:rPr>
        <w:t> </w:t>
      </w:r>
      <w:r>
        <w:rPr>
          <w:color w:val="231F20"/>
        </w:rPr>
        <w:t>in</w:t>
      </w:r>
      <w:r>
        <w:rPr>
          <w:color w:val="231F20"/>
          <w:spacing w:val="-4"/>
        </w:rPr>
        <w:t> </w:t>
      </w:r>
      <w:r>
        <w:rPr>
          <w:color w:val="231F20"/>
        </w:rPr>
        <w:t>a</w:t>
      </w:r>
      <w:r>
        <w:rPr>
          <w:color w:val="231F20"/>
          <w:spacing w:val="-4"/>
        </w:rPr>
        <w:t> </w:t>
      </w:r>
      <w:r>
        <w:rPr>
          <w:color w:val="231F20"/>
        </w:rPr>
        <w:t>meeting</w:t>
      </w:r>
      <w:r>
        <w:rPr>
          <w:color w:val="231F20"/>
          <w:spacing w:val="-6"/>
        </w:rPr>
        <w:t> </w:t>
      </w:r>
      <w:r>
        <w:rPr>
          <w:color w:val="231F20"/>
        </w:rPr>
        <w:t>by</w:t>
      </w:r>
      <w:r>
        <w:rPr>
          <w:color w:val="231F20"/>
          <w:spacing w:val="-8"/>
        </w:rPr>
        <w:t> </w:t>
      </w:r>
      <w:r>
        <w:rPr>
          <w:color w:val="231F20"/>
          <w:spacing w:val="-2"/>
        </w:rPr>
        <w:t>telephone:</w:t>
      </w:r>
    </w:p>
    <w:p>
      <w:pPr>
        <w:pStyle w:val="BodyText"/>
        <w:rPr>
          <w:sz w:val="30"/>
        </w:rPr>
      </w:pPr>
    </w:p>
    <w:p>
      <w:pPr>
        <w:pStyle w:val="BodyText"/>
        <w:tabs>
          <w:tab w:pos="2135" w:val="left" w:leader="none"/>
        </w:tabs>
        <w:ind w:left="2155" w:right="798" w:hanging="600"/>
      </w:pPr>
      <w:r>
        <w:rPr>
          <w:color w:val="231F20"/>
          <w:u w:val="single" w:color="231F20"/>
        </w:rPr>
        <w:tab/>
      </w:r>
      <w:r>
        <w:rPr>
          <w:color w:val="231F20"/>
        </w:rPr>
        <w:t>There must be a law or a rule of the public body authorizing its members to participate by conference telephone or similar communications equipment; </w:t>
      </w:r>
      <w:r>
        <w:rPr>
          <w:color w:val="231F20"/>
          <w:u w:val="single" w:color="231F20"/>
        </w:rPr>
        <w:t>and</w:t>
      </w:r>
    </w:p>
    <w:p>
      <w:pPr>
        <w:pStyle w:val="BodyText"/>
        <w:spacing w:before="2"/>
        <w:rPr>
          <w:sz w:val="20"/>
        </w:rPr>
      </w:pPr>
    </w:p>
    <w:p>
      <w:pPr>
        <w:pStyle w:val="BodyText"/>
        <w:tabs>
          <w:tab w:pos="2155" w:val="left" w:leader="none"/>
        </w:tabs>
        <w:spacing w:before="90"/>
        <w:ind w:left="1555"/>
      </w:pPr>
      <w:bookmarkStart w:name="It must be “difficult or impossible” for" w:id="280"/>
      <w:bookmarkEnd w:id="280"/>
      <w:r>
        <w:rPr/>
      </w:r>
      <w:r>
        <w:rPr>
          <w:color w:val="231F20"/>
          <w:u w:val="single" w:color="231F20"/>
        </w:rPr>
        <w:tab/>
      </w:r>
      <w:r>
        <w:rPr>
          <w:color w:val="231F20"/>
        </w:rPr>
        <w:t>It</w:t>
      </w:r>
      <w:r>
        <w:rPr>
          <w:color w:val="231F20"/>
          <w:spacing w:val="-1"/>
        </w:rPr>
        <w:t> </w:t>
      </w:r>
      <w:r>
        <w:rPr>
          <w:color w:val="231F20"/>
        </w:rPr>
        <w:t>must</w:t>
      </w:r>
      <w:r>
        <w:rPr>
          <w:color w:val="231F20"/>
          <w:spacing w:val="-1"/>
        </w:rPr>
        <w:t> </w:t>
      </w:r>
      <w:r>
        <w:rPr>
          <w:color w:val="231F20"/>
        </w:rPr>
        <w:t>be</w:t>
      </w:r>
      <w:r>
        <w:rPr>
          <w:color w:val="231F20"/>
          <w:spacing w:val="-2"/>
        </w:rPr>
        <w:t> </w:t>
      </w:r>
      <w:r>
        <w:rPr>
          <w:color w:val="231F20"/>
        </w:rPr>
        <w:t>“difficult</w:t>
      </w:r>
      <w:r>
        <w:rPr>
          <w:color w:val="231F20"/>
          <w:spacing w:val="-1"/>
        </w:rPr>
        <w:t> </w:t>
      </w:r>
      <w:r>
        <w:rPr>
          <w:color w:val="231F20"/>
        </w:rPr>
        <w:t>or</w:t>
      </w:r>
      <w:r>
        <w:rPr>
          <w:color w:val="231F20"/>
          <w:spacing w:val="-2"/>
        </w:rPr>
        <w:t> </w:t>
      </w:r>
      <w:r>
        <w:rPr>
          <w:color w:val="231F20"/>
        </w:rPr>
        <w:t>impossible”</w:t>
      </w:r>
      <w:r>
        <w:rPr>
          <w:color w:val="231F20"/>
          <w:spacing w:val="-2"/>
        </w:rPr>
        <w:t> </w:t>
      </w:r>
      <w:r>
        <w:rPr>
          <w:color w:val="231F20"/>
        </w:rPr>
        <w:t>for</w:t>
      </w:r>
      <w:r>
        <w:rPr>
          <w:color w:val="231F20"/>
          <w:spacing w:val="-2"/>
        </w:rPr>
        <w:t> </w:t>
      </w:r>
      <w:r>
        <w:rPr>
          <w:color w:val="231F20"/>
        </w:rPr>
        <w:t>that</w:t>
      </w:r>
      <w:r>
        <w:rPr>
          <w:color w:val="231F20"/>
          <w:spacing w:val="-1"/>
        </w:rPr>
        <w:t> </w:t>
      </w:r>
      <w:r>
        <w:rPr>
          <w:color w:val="231F20"/>
        </w:rPr>
        <w:t>member</w:t>
      </w:r>
      <w:r>
        <w:rPr>
          <w:color w:val="231F20"/>
          <w:spacing w:val="-2"/>
        </w:rPr>
        <w:t> </w:t>
      </w:r>
      <w:r>
        <w:rPr>
          <w:color w:val="231F20"/>
        </w:rPr>
        <w:t>to</w:t>
      </w:r>
      <w:r>
        <w:rPr>
          <w:color w:val="231F20"/>
          <w:spacing w:val="-1"/>
        </w:rPr>
        <w:t> </w:t>
      </w:r>
      <w:r>
        <w:rPr>
          <w:color w:val="231F20"/>
        </w:rPr>
        <w:t>attend</w:t>
      </w:r>
      <w:r>
        <w:rPr>
          <w:color w:val="231F20"/>
          <w:spacing w:val="-1"/>
        </w:rPr>
        <w:t> </w:t>
      </w:r>
      <w:r>
        <w:rPr>
          <w:color w:val="231F20"/>
        </w:rPr>
        <w:t>the</w:t>
      </w:r>
      <w:r>
        <w:rPr>
          <w:color w:val="231F20"/>
          <w:spacing w:val="-2"/>
        </w:rPr>
        <w:t> </w:t>
      </w:r>
      <w:r>
        <w:rPr>
          <w:color w:val="231F20"/>
        </w:rPr>
        <w:t>meeting</w:t>
      </w:r>
      <w:r>
        <w:rPr>
          <w:color w:val="231F20"/>
          <w:spacing w:val="-1"/>
        </w:rPr>
        <w:t> </w:t>
      </w:r>
      <w:r>
        <w:rPr>
          <w:color w:val="231F20"/>
        </w:rPr>
        <w:t>in</w:t>
      </w:r>
      <w:r>
        <w:rPr>
          <w:color w:val="231F20"/>
          <w:spacing w:val="-1"/>
        </w:rPr>
        <w:t> </w:t>
      </w:r>
      <w:r>
        <w:rPr>
          <w:color w:val="231F20"/>
        </w:rPr>
        <w:t>person;</w:t>
      </w:r>
      <w:r>
        <w:rPr>
          <w:color w:val="231F20"/>
          <w:spacing w:val="-1"/>
        </w:rPr>
        <w:t> </w:t>
      </w:r>
      <w:r>
        <w:rPr>
          <w:color w:val="231F20"/>
          <w:spacing w:val="-5"/>
          <w:u w:val="single" w:color="231F20"/>
        </w:rPr>
        <w:t>and</w:t>
      </w:r>
    </w:p>
    <w:p>
      <w:pPr>
        <w:pStyle w:val="BodyText"/>
        <w:spacing w:before="3"/>
        <w:rPr>
          <w:sz w:val="22"/>
        </w:rPr>
      </w:pPr>
    </w:p>
    <w:p>
      <w:pPr>
        <w:pStyle w:val="BodyText"/>
        <w:spacing w:before="90"/>
        <w:ind w:left="2155" w:right="364" w:hanging="600"/>
        <w:jc w:val="both"/>
      </w:pPr>
      <w:r>
        <w:rPr>
          <w:color w:val="231F20"/>
          <w:spacing w:val="80"/>
          <w:u w:val="single" w:color="231F20"/>
        </w:rPr>
        <w:t>   </w:t>
      </w:r>
      <w:r>
        <w:rPr>
          <w:color w:val="231F20"/>
        </w:rPr>
        <w:t>Each member participating telephonically</w:t>
      </w:r>
      <w:r>
        <w:rPr>
          <w:color w:val="231F20"/>
          <w:spacing w:val="-2"/>
        </w:rPr>
        <w:t> </w:t>
      </w:r>
      <w:r>
        <w:rPr>
          <w:color w:val="231F20"/>
        </w:rPr>
        <w:t>can be identified when speaking, all participants are able to hear each other at the same time, and members of the public attending the meeting are able to hear any member of the public body who speaks during the meeting.</w:t>
      </w:r>
    </w:p>
    <w:p>
      <w:pPr>
        <w:pStyle w:val="BodyText"/>
        <w:spacing w:before="4"/>
        <w:rPr>
          <w:sz w:val="28"/>
        </w:rPr>
      </w:pPr>
    </w:p>
    <w:p>
      <w:pPr>
        <w:spacing w:before="0"/>
        <w:ind w:left="1075" w:right="0" w:firstLine="0"/>
        <w:jc w:val="left"/>
        <w:rPr>
          <w:b/>
          <w:sz w:val="24"/>
        </w:rPr>
      </w:pPr>
      <w:bookmarkStart w:name="Closed Meetings – Permissible Subjects (" w:id="281"/>
      <w:bookmarkEnd w:id="281"/>
      <w:r>
        <w:rPr/>
      </w:r>
      <w:r>
        <w:rPr>
          <w:b/>
          <w:color w:val="231F20"/>
          <w:sz w:val="24"/>
          <w:u w:val="thick" w:color="231F20"/>
        </w:rPr>
        <w:t>Closed</w:t>
      </w:r>
      <w:r>
        <w:rPr>
          <w:b/>
          <w:color w:val="231F20"/>
          <w:spacing w:val="-5"/>
          <w:sz w:val="24"/>
          <w:u w:val="thick" w:color="231F20"/>
        </w:rPr>
        <w:t> </w:t>
      </w:r>
      <w:r>
        <w:rPr>
          <w:b/>
          <w:color w:val="231F20"/>
          <w:sz w:val="24"/>
          <w:u w:val="thick" w:color="231F20"/>
        </w:rPr>
        <w:t>Meetings</w:t>
      </w:r>
      <w:r>
        <w:rPr>
          <w:b/>
          <w:color w:val="231F20"/>
          <w:spacing w:val="-5"/>
          <w:sz w:val="24"/>
          <w:u w:val="thick" w:color="231F20"/>
        </w:rPr>
        <w:t> </w:t>
      </w:r>
      <w:r>
        <w:rPr>
          <w:b/>
          <w:color w:val="231F20"/>
          <w:sz w:val="24"/>
          <w:u w:val="thick" w:color="231F20"/>
        </w:rPr>
        <w:t>–</w:t>
      </w:r>
      <w:r>
        <w:rPr>
          <w:b/>
          <w:color w:val="231F20"/>
          <w:spacing w:val="-2"/>
          <w:sz w:val="24"/>
          <w:u w:val="thick" w:color="231F20"/>
        </w:rPr>
        <w:t> </w:t>
      </w:r>
      <w:r>
        <w:rPr>
          <w:b/>
          <w:color w:val="231F20"/>
          <w:sz w:val="24"/>
          <w:u w:val="thick" w:color="231F20"/>
        </w:rPr>
        <w:t>Permissible</w:t>
      </w:r>
      <w:r>
        <w:rPr>
          <w:b/>
          <w:color w:val="231F20"/>
          <w:spacing w:val="-6"/>
          <w:sz w:val="24"/>
          <w:u w:val="thick" w:color="231F20"/>
        </w:rPr>
        <w:t> </w:t>
      </w:r>
      <w:r>
        <w:rPr>
          <w:b/>
          <w:color w:val="231F20"/>
          <w:sz w:val="24"/>
          <w:u w:val="thick" w:color="231F20"/>
        </w:rPr>
        <w:t>Subjects</w:t>
      </w:r>
      <w:r>
        <w:rPr>
          <w:b/>
          <w:color w:val="231F20"/>
          <w:spacing w:val="-4"/>
          <w:sz w:val="24"/>
          <w:u w:val="thick" w:color="231F20"/>
        </w:rPr>
        <w:t> </w:t>
      </w:r>
      <w:r>
        <w:rPr>
          <w:b/>
          <w:color w:val="231F20"/>
          <w:sz w:val="24"/>
          <w:u w:val="thick" w:color="231F20"/>
        </w:rPr>
        <w:t>(§</w:t>
      </w:r>
      <w:r>
        <w:rPr>
          <w:b/>
          <w:color w:val="231F20"/>
          <w:spacing w:val="-5"/>
          <w:sz w:val="24"/>
          <w:u w:val="thick" w:color="231F20"/>
        </w:rPr>
        <w:t> </w:t>
      </w:r>
      <w:r>
        <w:rPr>
          <w:b/>
          <w:color w:val="231F20"/>
          <w:sz w:val="24"/>
          <w:u w:val="thick" w:color="231F20"/>
        </w:rPr>
        <w:t>10-15-1</w:t>
      </w:r>
      <w:r>
        <w:rPr>
          <w:b/>
          <w:color w:val="231F20"/>
          <w:spacing w:val="-4"/>
          <w:sz w:val="24"/>
          <w:u w:val="thick" w:color="231F20"/>
        </w:rPr>
        <w:t> (H))</w:t>
      </w:r>
    </w:p>
    <w:p>
      <w:pPr>
        <w:pStyle w:val="BodyText"/>
        <w:spacing w:before="10"/>
        <w:rPr>
          <w:b/>
          <w:sz w:val="21"/>
        </w:rPr>
      </w:pPr>
    </w:p>
    <w:p>
      <w:pPr>
        <w:pStyle w:val="BodyText"/>
        <w:spacing w:before="90"/>
        <w:ind w:left="1075" w:right="679"/>
      </w:pPr>
      <w:r>
        <w:rPr>
          <w:color w:val="231F20"/>
        </w:rPr>
        <w:t>If a public body</w:t>
      </w:r>
      <w:r>
        <w:rPr>
          <w:color w:val="231F20"/>
          <w:spacing w:val="-4"/>
        </w:rPr>
        <w:t> </w:t>
      </w:r>
      <w:r>
        <w:rPr>
          <w:color w:val="231F20"/>
        </w:rPr>
        <w:t>wishes to hold a closed meeting, it may</w:t>
      </w:r>
      <w:r>
        <w:rPr>
          <w:color w:val="231F20"/>
          <w:spacing w:val="-4"/>
        </w:rPr>
        <w:t> </w:t>
      </w:r>
      <w:r>
        <w:rPr>
          <w:color w:val="231F20"/>
        </w:rPr>
        <w:t>do so only</w:t>
      </w:r>
      <w:r>
        <w:rPr>
          <w:color w:val="231F20"/>
          <w:spacing w:val="-4"/>
        </w:rPr>
        <w:t> </w:t>
      </w:r>
      <w:r>
        <w:rPr>
          <w:color w:val="231F20"/>
        </w:rPr>
        <w:t>to engage in one or more of the </w:t>
      </w:r>
      <w:r>
        <w:rPr>
          <w:color w:val="231F20"/>
          <w:spacing w:val="-2"/>
        </w:rPr>
        <w:t>following:</w:t>
      </w:r>
    </w:p>
    <w:p>
      <w:pPr>
        <w:pStyle w:val="BodyText"/>
        <w:spacing w:before="11"/>
        <w:rPr>
          <w:sz w:val="27"/>
        </w:rPr>
      </w:pPr>
    </w:p>
    <w:p>
      <w:pPr>
        <w:pStyle w:val="BodyText"/>
        <w:tabs>
          <w:tab w:pos="1735" w:val="left" w:leader="none"/>
        </w:tabs>
        <w:ind w:left="1015"/>
      </w:pPr>
      <w:bookmarkStart w:name="Deliberations about the issuance, suspen" w:id="282"/>
      <w:bookmarkEnd w:id="282"/>
      <w:r>
        <w:rPr/>
      </w:r>
      <w:r>
        <w:rPr>
          <w:color w:val="231F20"/>
          <w:u w:val="single" w:color="231F20"/>
        </w:rPr>
        <w:tab/>
      </w:r>
      <w:r>
        <w:rPr>
          <w:color w:val="231F20"/>
        </w:rPr>
        <w:t>Deliberations</w:t>
      </w:r>
      <w:r>
        <w:rPr>
          <w:color w:val="231F20"/>
          <w:spacing w:val="-5"/>
        </w:rPr>
        <w:t> </w:t>
      </w:r>
      <w:r>
        <w:rPr>
          <w:color w:val="231F20"/>
        </w:rPr>
        <w:t>about</w:t>
      </w:r>
      <w:r>
        <w:rPr>
          <w:color w:val="231F20"/>
          <w:spacing w:val="-3"/>
        </w:rPr>
        <w:t> </w:t>
      </w:r>
      <w:r>
        <w:rPr>
          <w:color w:val="231F20"/>
        </w:rPr>
        <w:t>the</w:t>
      </w:r>
      <w:r>
        <w:rPr>
          <w:color w:val="231F20"/>
          <w:spacing w:val="-4"/>
        </w:rPr>
        <w:t> </w:t>
      </w:r>
      <w:r>
        <w:rPr>
          <w:color w:val="231F20"/>
        </w:rPr>
        <w:t>issuance,</w:t>
      </w:r>
      <w:r>
        <w:rPr>
          <w:color w:val="231F20"/>
          <w:spacing w:val="-2"/>
        </w:rPr>
        <w:t> </w:t>
      </w:r>
      <w:r>
        <w:rPr>
          <w:color w:val="231F20"/>
        </w:rPr>
        <w:t>suspension,</w:t>
      </w:r>
      <w:r>
        <w:rPr>
          <w:color w:val="231F20"/>
          <w:spacing w:val="-3"/>
        </w:rPr>
        <w:t> </w:t>
      </w:r>
      <w:r>
        <w:rPr>
          <w:color w:val="231F20"/>
        </w:rPr>
        <w:t>renewal</w:t>
      </w:r>
      <w:r>
        <w:rPr>
          <w:color w:val="231F20"/>
          <w:spacing w:val="-3"/>
        </w:rPr>
        <w:t> </w:t>
      </w:r>
      <w:r>
        <w:rPr>
          <w:color w:val="231F20"/>
        </w:rPr>
        <w:t>or</w:t>
      </w:r>
      <w:r>
        <w:rPr>
          <w:color w:val="231F20"/>
          <w:spacing w:val="-4"/>
        </w:rPr>
        <w:t> </w:t>
      </w:r>
      <w:r>
        <w:rPr>
          <w:color w:val="231F20"/>
        </w:rPr>
        <w:t>revocation of</w:t>
      </w:r>
      <w:r>
        <w:rPr>
          <w:color w:val="231F20"/>
          <w:spacing w:val="-4"/>
        </w:rPr>
        <w:t> </w:t>
      </w:r>
      <w:r>
        <w:rPr>
          <w:color w:val="231F20"/>
        </w:rPr>
        <w:t>a</w:t>
      </w:r>
      <w:r>
        <w:rPr>
          <w:color w:val="231F20"/>
          <w:spacing w:val="-4"/>
        </w:rPr>
        <w:t> </w:t>
      </w:r>
      <w:r>
        <w:rPr>
          <w:color w:val="231F20"/>
        </w:rPr>
        <w:t>license(§</w:t>
      </w:r>
      <w:r>
        <w:rPr>
          <w:color w:val="231F20"/>
          <w:spacing w:val="-2"/>
        </w:rPr>
        <w:t> </w:t>
      </w:r>
      <w:r>
        <w:rPr>
          <w:color w:val="231F20"/>
        </w:rPr>
        <w:t>10-15-</w:t>
      </w:r>
      <w:r>
        <w:rPr>
          <w:color w:val="231F20"/>
          <w:spacing w:val="-2"/>
        </w:rPr>
        <w:t>1(H)(1)).</w:t>
      </w:r>
    </w:p>
    <w:p>
      <w:pPr>
        <w:pStyle w:val="BodyText"/>
        <w:rPr>
          <w:sz w:val="22"/>
        </w:rPr>
      </w:pPr>
    </w:p>
    <w:p>
      <w:pPr>
        <w:pStyle w:val="BodyText"/>
        <w:spacing w:before="90"/>
        <w:ind w:left="1646" w:right="281" w:hanging="600"/>
        <w:jc w:val="both"/>
      </w:pPr>
      <w:r>
        <w:rPr>
          <w:color w:val="231F20"/>
          <w:spacing w:val="80"/>
          <w:u w:val="single" w:color="231F20"/>
        </w:rPr>
        <w:t>  </w:t>
      </w:r>
      <w:r>
        <w:rPr>
          <w:color w:val="231F20"/>
        </w:rPr>
        <w:t>Discussion of the hiring, promotion, demotion, dismissal, assignment or resignation of a public employee, or the investigation or consideration of complaints or charges against a public employee (§ 10-15-1(H)(2)).</w:t>
      </w:r>
    </w:p>
    <w:p>
      <w:pPr>
        <w:pStyle w:val="BodyText"/>
        <w:spacing w:before="2"/>
        <w:rPr>
          <w:sz w:val="28"/>
        </w:rPr>
      </w:pPr>
    </w:p>
    <w:p>
      <w:pPr>
        <w:pStyle w:val="BodyText"/>
        <w:ind w:left="1646" w:right="380" w:hanging="600"/>
        <w:jc w:val="both"/>
      </w:pPr>
      <w:r>
        <w:rPr>
          <w:color w:val="231F20"/>
          <w:spacing w:val="80"/>
          <w:w w:val="150"/>
          <w:u w:val="single" w:color="231F20"/>
        </w:rPr>
        <w:t>   </w:t>
      </w:r>
      <w:r>
        <w:rPr>
          <w:color w:val="231F20"/>
        </w:rPr>
        <w:t>Deliberations in connection with an administrative adjudicatory</w:t>
      </w:r>
      <w:r>
        <w:rPr>
          <w:color w:val="231F20"/>
          <w:spacing w:val="-1"/>
        </w:rPr>
        <w:t> </w:t>
      </w:r>
      <w:r>
        <w:rPr>
          <w:color w:val="231F20"/>
        </w:rPr>
        <w:t>proceeding held by</w:t>
      </w:r>
      <w:r>
        <w:rPr>
          <w:color w:val="231F20"/>
          <w:spacing w:val="-4"/>
        </w:rPr>
        <w:t> </w:t>
      </w:r>
      <w:r>
        <w:rPr>
          <w:color w:val="231F20"/>
        </w:rPr>
        <w:t>the public body (§ 10-15-1(H)(3)).</w:t>
      </w:r>
    </w:p>
    <w:p>
      <w:pPr>
        <w:pStyle w:val="BodyText"/>
        <w:spacing w:before="2"/>
        <w:rPr>
          <w:sz w:val="16"/>
        </w:rPr>
      </w:pPr>
    </w:p>
    <w:p>
      <w:pPr>
        <w:pStyle w:val="BodyText"/>
        <w:tabs>
          <w:tab w:pos="1646" w:val="left" w:leader="none"/>
        </w:tabs>
        <w:spacing w:before="90"/>
        <w:ind w:left="1046"/>
      </w:pPr>
      <w:r>
        <w:rPr>
          <w:color w:val="231F20"/>
          <w:u w:val="single" w:color="221E1F"/>
        </w:rPr>
        <w:tab/>
      </w:r>
      <w:r>
        <w:rPr>
          <w:color w:val="231F20"/>
        </w:rPr>
        <w:t> Discussion of</w:t>
      </w:r>
      <w:r>
        <w:rPr>
          <w:color w:val="231F20"/>
          <w:spacing w:val="-1"/>
        </w:rPr>
        <w:t> </w:t>
      </w:r>
      <w:r>
        <w:rPr>
          <w:color w:val="231F20"/>
        </w:rPr>
        <w:t>personally</w:t>
      </w:r>
      <w:r>
        <w:rPr>
          <w:color w:val="231F20"/>
          <w:spacing w:val="-5"/>
        </w:rPr>
        <w:t> </w:t>
      </w:r>
      <w:r>
        <w:rPr>
          <w:color w:val="231F20"/>
        </w:rPr>
        <w:t>identifiable</w:t>
      </w:r>
      <w:r>
        <w:rPr>
          <w:color w:val="231F20"/>
          <w:spacing w:val="-1"/>
        </w:rPr>
        <w:t> </w:t>
      </w:r>
      <w:r>
        <w:rPr>
          <w:color w:val="231F20"/>
        </w:rPr>
        <w:t>information about an individual student (§ 10-15-1(H)(4)).</w:t>
      </w:r>
    </w:p>
    <w:p>
      <w:pPr>
        <w:spacing w:after="0"/>
        <w:sectPr>
          <w:pgSz w:w="12240" w:h="15840"/>
          <w:pgMar w:header="660" w:footer="484" w:top="960" w:bottom="900" w:left="360" w:right="240"/>
        </w:sectPr>
      </w:pPr>
    </w:p>
    <w:p>
      <w:pPr>
        <w:pStyle w:val="BodyText"/>
        <w:rPr>
          <w:sz w:val="20"/>
        </w:rPr>
      </w:pPr>
    </w:p>
    <w:p>
      <w:pPr>
        <w:pStyle w:val="BodyText"/>
        <w:spacing w:before="8"/>
        <w:rPr>
          <w:sz w:val="15"/>
        </w:rPr>
      </w:pPr>
    </w:p>
    <w:p>
      <w:pPr>
        <w:pStyle w:val="BodyText"/>
        <w:spacing w:before="90"/>
        <w:ind w:left="1646" w:right="401" w:hanging="600"/>
        <w:jc w:val="both"/>
      </w:pPr>
      <w:r>
        <w:rPr>
          <w:color w:val="231F20"/>
          <w:spacing w:val="80"/>
          <w:u w:val="single" w:color="231F20"/>
        </w:rPr>
        <w:t>   </w:t>
      </w:r>
      <w:r>
        <w:rPr>
          <w:color w:val="231F20"/>
        </w:rPr>
        <w:t>Discussion</w:t>
      </w:r>
      <w:r>
        <w:rPr>
          <w:color w:val="231F20"/>
          <w:spacing w:val="40"/>
        </w:rPr>
        <w:t> </w:t>
      </w:r>
      <w:r>
        <w:rPr>
          <w:color w:val="231F20"/>
        </w:rPr>
        <w:t>of</w:t>
      </w:r>
      <w:r>
        <w:rPr>
          <w:color w:val="231F20"/>
          <w:spacing w:val="40"/>
        </w:rPr>
        <w:t> </w:t>
      </w:r>
      <w:r>
        <w:rPr>
          <w:color w:val="231F20"/>
        </w:rPr>
        <w:t>collective</w:t>
      </w:r>
      <w:r>
        <w:rPr>
          <w:color w:val="231F20"/>
          <w:spacing w:val="40"/>
        </w:rPr>
        <w:t> </w:t>
      </w:r>
      <w:r>
        <w:rPr>
          <w:color w:val="231F20"/>
        </w:rPr>
        <w:t>bargaining</w:t>
      </w:r>
      <w:r>
        <w:rPr>
          <w:color w:val="231F20"/>
          <w:spacing w:val="39"/>
        </w:rPr>
        <w:t> </w:t>
      </w:r>
      <w:r>
        <w:rPr>
          <w:color w:val="231F20"/>
        </w:rPr>
        <w:t>strategy</w:t>
      </w:r>
      <w:r>
        <w:rPr>
          <w:color w:val="231F20"/>
          <w:spacing w:val="37"/>
        </w:rPr>
        <w:t> </w:t>
      </w:r>
      <w:r>
        <w:rPr>
          <w:color w:val="231F20"/>
        </w:rPr>
        <w:t>prior</w:t>
      </w:r>
      <w:r>
        <w:rPr>
          <w:color w:val="231F20"/>
          <w:spacing w:val="40"/>
        </w:rPr>
        <w:t> </w:t>
      </w:r>
      <w:r>
        <w:rPr>
          <w:color w:val="231F20"/>
        </w:rPr>
        <w:t>to</w:t>
      </w:r>
      <w:r>
        <w:rPr>
          <w:color w:val="231F20"/>
          <w:spacing w:val="40"/>
        </w:rPr>
        <w:t> </w:t>
      </w:r>
      <w:r>
        <w:rPr>
          <w:color w:val="231F20"/>
        </w:rPr>
        <w:t>negotiations</w:t>
      </w:r>
      <w:r>
        <w:rPr>
          <w:color w:val="231F20"/>
          <w:spacing w:val="40"/>
        </w:rPr>
        <w:t> </w:t>
      </w:r>
      <w:r>
        <w:rPr>
          <w:color w:val="231F20"/>
        </w:rPr>
        <w:t>between</w:t>
      </w:r>
      <w:r>
        <w:rPr>
          <w:color w:val="231F20"/>
          <w:spacing w:val="40"/>
        </w:rPr>
        <w:t> </w:t>
      </w:r>
      <w:r>
        <w:rPr>
          <w:color w:val="231F20"/>
        </w:rPr>
        <w:t>a</w:t>
      </w:r>
      <w:r>
        <w:rPr>
          <w:color w:val="231F20"/>
          <w:spacing w:val="40"/>
        </w:rPr>
        <w:t> </w:t>
      </w:r>
      <w:r>
        <w:rPr>
          <w:color w:val="231F20"/>
        </w:rPr>
        <w:t>public</w:t>
      </w:r>
      <w:r>
        <w:rPr>
          <w:color w:val="231F20"/>
          <w:spacing w:val="40"/>
        </w:rPr>
        <w:t> </w:t>
      </w:r>
      <w:r>
        <w:rPr>
          <w:color w:val="231F20"/>
        </w:rPr>
        <w:t>body</w:t>
      </w:r>
      <w:r>
        <w:rPr>
          <w:color w:val="231F20"/>
          <w:spacing w:val="39"/>
        </w:rPr>
        <w:t> </w:t>
      </w:r>
      <w:r>
        <w:rPr>
          <w:color w:val="231F20"/>
        </w:rPr>
        <w:t>and</w:t>
      </w:r>
      <w:r>
        <w:rPr>
          <w:color w:val="231F20"/>
          <w:spacing w:val="40"/>
        </w:rPr>
        <w:t> </w:t>
      </w:r>
      <w:r>
        <w:rPr>
          <w:color w:val="231F20"/>
        </w:rPr>
        <w:t>a union representing employees of the public body; collective bargaining sessions involving the public body and union (§ 10-15-1(H)(5)); and consultations and impasse resolution procedures at which the public body and the union are present (§ 10-7E-17(G)</w:t>
      </w:r>
      <w:r>
        <w:rPr>
          <w:color w:val="231F20"/>
        </w:rPr>
        <w:t> of</w:t>
      </w:r>
      <w:r>
        <w:rPr>
          <w:color w:val="231F20"/>
        </w:rPr>
        <w:t> the</w:t>
      </w:r>
      <w:r>
        <w:rPr>
          <w:color w:val="231F20"/>
        </w:rPr>
        <w:t> Public Employee</w:t>
      </w:r>
      <w:r>
        <w:rPr>
          <w:color w:val="231F20"/>
          <w:spacing w:val="40"/>
        </w:rPr>
        <w:t> </w:t>
      </w:r>
      <w:r>
        <w:rPr>
          <w:color w:val="231F20"/>
        </w:rPr>
        <w:t>Bargaining Act).</w:t>
      </w:r>
    </w:p>
    <w:p>
      <w:pPr>
        <w:pStyle w:val="BodyText"/>
        <w:rPr>
          <w:sz w:val="28"/>
        </w:rPr>
      </w:pPr>
    </w:p>
    <w:p>
      <w:pPr>
        <w:pStyle w:val="BodyText"/>
        <w:tabs>
          <w:tab w:pos="1675" w:val="left" w:leader="none"/>
        </w:tabs>
        <w:ind w:left="1675" w:right="1224" w:hanging="600"/>
      </w:pPr>
      <w:r>
        <w:rPr>
          <w:color w:val="231F20"/>
          <w:u w:val="single" w:color="231F20"/>
        </w:rPr>
        <w:tab/>
      </w:r>
      <w:r>
        <w:rPr>
          <w:color w:val="231F20"/>
        </w:rPr>
        <w:t>Discussion of a sole source purchase that exceeds $2,500 or of the contents of competitive sealed proposals during the contract negotiation process (§ 10-15-1(H)(6)).</w:t>
      </w:r>
    </w:p>
    <w:p>
      <w:pPr>
        <w:pStyle w:val="BodyText"/>
        <w:spacing w:before="11"/>
        <w:rPr>
          <w:sz w:val="27"/>
        </w:rPr>
      </w:pPr>
    </w:p>
    <w:p>
      <w:pPr>
        <w:pStyle w:val="BodyText"/>
        <w:tabs>
          <w:tab w:pos="1675" w:val="left" w:leader="none"/>
        </w:tabs>
        <w:ind w:left="1675" w:right="798" w:hanging="600"/>
      </w:pPr>
      <w:r>
        <w:rPr>
          <w:color w:val="231F20"/>
          <w:u w:val="single" w:color="231F20"/>
        </w:rPr>
        <w:tab/>
      </w:r>
      <w:r>
        <w:rPr>
          <w:color w:val="231F20"/>
        </w:rPr>
        <w:t>Meeting with the public body’s attorney</w:t>
      </w:r>
      <w:r>
        <w:rPr>
          <w:color w:val="231F20"/>
          <w:spacing w:val="-5"/>
        </w:rPr>
        <w:t> </w:t>
      </w:r>
      <w:r>
        <w:rPr>
          <w:color w:val="231F20"/>
        </w:rPr>
        <w:t>pertaining to threatened or pending litigation in which the public body is or may become a participant (§ 10-15-1(H)(7)).</w:t>
      </w:r>
    </w:p>
    <w:p>
      <w:pPr>
        <w:pStyle w:val="BodyText"/>
        <w:spacing w:before="11"/>
        <w:rPr>
          <w:sz w:val="27"/>
        </w:rPr>
      </w:pPr>
    </w:p>
    <w:p>
      <w:pPr>
        <w:pStyle w:val="BodyText"/>
        <w:tabs>
          <w:tab w:pos="1675" w:val="left" w:leader="none"/>
        </w:tabs>
        <w:ind w:left="1675" w:right="2093" w:hanging="600"/>
      </w:pPr>
      <w:bookmarkStart w:name="Discussion of the purchase, acquisition " w:id="283"/>
      <w:bookmarkEnd w:id="283"/>
      <w:r>
        <w:rPr/>
      </w:r>
      <w:r>
        <w:rPr>
          <w:color w:val="231F20"/>
          <w:u w:val="single" w:color="231F20"/>
        </w:rPr>
        <w:tab/>
      </w:r>
      <w:r>
        <w:rPr>
          <w:color w:val="231F20"/>
        </w:rPr>
        <w:t>Discussion</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purchase,</w:t>
      </w:r>
      <w:r>
        <w:rPr>
          <w:color w:val="231F20"/>
          <w:spacing w:val="-3"/>
        </w:rPr>
        <w:t> </w:t>
      </w:r>
      <w:r>
        <w:rPr>
          <w:color w:val="231F20"/>
        </w:rPr>
        <w:t>acquisition</w:t>
      </w:r>
      <w:r>
        <w:rPr>
          <w:color w:val="231F20"/>
          <w:spacing w:val="-3"/>
        </w:rPr>
        <w:t> </w:t>
      </w:r>
      <w:r>
        <w:rPr>
          <w:color w:val="231F20"/>
        </w:rPr>
        <w:t>or</w:t>
      </w:r>
      <w:r>
        <w:rPr>
          <w:color w:val="231F20"/>
          <w:spacing w:val="-4"/>
        </w:rPr>
        <w:t> </w:t>
      </w:r>
      <w:r>
        <w:rPr>
          <w:color w:val="231F20"/>
        </w:rPr>
        <w:t>disposal</w:t>
      </w:r>
      <w:r>
        <w:rPr>
          <w:color w:val="231F20"/>
          <w:spacing w:val="-3"/>
        </w:rPr>
        <w:t> </w:t>
      </w:r>
      <w:r>
        <w:rPr>
          <w:color w:val="231F20"/>
        </w:rPr>
        <w:t>of</w:t>
      </w:r>
      <w:r>
        <w:rPr>
          <w:color w:val="231F20"/>
          <w:spacing w:val="-4"/>
        </w:rPr>
        <w:t> </w:t>
      </w:r>
      <w:r>
        <w:rPr>
          <w:color w:val="231F20"/>
        </w:rPr>
        <w:t>real</w:t>
      </w:r>
      <w:r>
        <w:rPr>
          <w:color w:val="231F20"/>
          <w:spacing w:val="-3"/>
        </w:rPr>
        <w:t> </w:t>
      </w:r>
      <w:r>
        <w:rPr>
          <w:color w:val="231F20"/>
        </w:rPr>
        <w:t>property</w:t>
      </w:r>
      <w:r>
        <w:rPr>
          <w:color w:val="231F20"/>
          <w:spacing w:val="-8"/>
        </w:rPr>
        <w:t> </w:t>
      </w:r>
      <w:r>
        <w:rPr>
          <w:color w:val="231F20"/>
        </w:rPr>
        <w:t>or</w:t>
      </w:r>
      <w:r>
        <w:rPr>
          <w:color w:val="231F20"/>
          <w:spacing w:val="-4"/>
        </w:rPr>
        <w:t> </w:t>
      </w:r>
      <w:r>
        <w:rPr>
          <w:color w:val="231F20"/>
        </w:rPr>
        <w:t>water</w:t>
      </w:r>
      <w:r>
        <w:rPr>
          <w:color w:val="231F20"/>
          <w:spacing w:val="-4"/>
        </w:rPr>
        <w:t> </w:t>
      </w:r>
      <w:r>
        <w:rPr>
          <w:color w:val="231F20"/>
        </w:rPr>
        <w:t>rights (§ 10-15-1(H)(8)).</w:t>
      </w:r>
    </w:p>
    <w:p>
      <w:pPr>
        <w:pStyle w:val="BodyText"/>
        <w:spacing w:before="1"/>
        <w:rPr>
          <w:sz w:val="30"/>
        </w:rPr>
      </w:pPr>
    </w:p>
    <w:p>
      <w:pPr>
        <w:pStyle w:val="BodyText"/>
        <w:tabs>
          <w:tab w:pos="1675" w:val="left" w:leader="none"/>
        </w:tabs>
        <w:ind w:left="1675" w:right="1523" w:hanging="600"/>
      </w:pPr>
      <w:r>
        <w:rPr>
          <w:color w:val="231F20"/>
          <w:u w:val="single" w:color="231F20"/>
        </w:rPr>
        <w:tab/>
      </w:r>
      <w:r>
        <w:rPr>
          <w:color w:val="231F20"/>
        </w:rPr>
        <w:t>For committees or boards of public</w:t>
      </w:r>
      <w:r>
        <w:rPr>
          <w:color w:val="231F20"/>
          <w:spacing w:val="-1"/>
        </w:rPr>
        <w:t> </w:t>
      </w:r>
      <w:r>
        <w:rPr>
          <w:color w:val="231F20"/>
        </w:rPr>
        <w:t>hospitals only, discussion of strategic</w:t>
      </w:r>
      <w:r>
        <w:rPr>
          <w:color w:val="231F20"/>
          <w:spacing w:val="-1"/>
        </w:rPr>
        <w:t> </w:t>
      </w:r>
      <w:r>
        <w:rPr>
          <w:color w:val="231F20"/>
        </w:rPr>
        <w:t>or long-range business plans or trade secrets (§ 10-15-1(H)(9)).</w:t>
      </w:r>
    </w:p>
    <w:p>
      <w:pPr>
        <w:pStyle w:val="BodyText"/>
        <w:spacing w:before="11"/>
        <w:rPr>
          <w:sz w:val="27"/>
        </w:rPr>
      </w:pPr>
    </w:p>
    <w:p>
      <w:pPr>
        <w:pStyle w:val="BodyText"/>
        <w:tabs>
          <w:tab w:pos="1675" w:val="left" w:leader="none"/>
        </w:tabs>
        <w:ind w:left="1675" w:right="679" w:hanging="600"/>
      </w:pPr>
      <w:r>
        <w:rPr>
          <w:color w:val="231F20"/>
          <w:u w:val="single" w:color="231F20"/>
        </w:rPr>
        <w:tab/>
      </w:r>
      <w:r>
        <w:rPr>
          <w:color w:val="231F20"/>
        </w:rPr>
        <w:t>For</w:t>
      </w:r>
      <w:r>
        <w:rPr>
          <w:color w:val="231F20"/>
          <w:spacing w:val="-1"/>
        </w:rPr>
        <w:t> </w:t>
      </w:r>
      <w:r>
        <w:rPr>
          <w:color w:val="231F20"/>
        </w:rPr>
        <w:t>the Gaming</w:t>
      </w:r>
      <w:r>
        <w:rPr>
          <w:color w:val="231F20"/>
          <w:spacing w:val="-2"/>
        </w:rPr>
        <w:t> </w:t>
      </w:r>
      <w:r>
        <w:rPr>
          <w:color w:val="231F20"/>
        </w:rPr>
        <w:t>Control Board only, a</w:t>
      </w:r>
      <w:r>
        <w:rPr>
          <w:color w:val="231F20"/>
          <w:spacing w:val="-1"/>
        </w:rPr>
        <w:t> </w:t>
      </w:r>
      <w:r>
        <w:rPr>
          <w:color w:val="231F20"/>
        </w:rPr>
        <w:t>meeting</w:t>
      </w:r>
      <w:r>
        <w:rPr>
          <w:color w:val="231F20"/>
          <w:spacing w:val="-2"/>
        </w:rPr>
        <w:t> </w:t>
      </w:r>
      <w:r>
        <w:rPr>
          <w:color w:val="231F20"/>
        </w:rPr>
        <w:t>that deals with information made</w:t>
      </w:r>
      <w:r>
        <w:rPr>
          <w:color w:val="231F20"/>
          <w:spacing w:val="-1"/>
        </w:rPr>
        <w:t> </w:t>
      </w:r>
      <w:r>
        <w:rPr>
          <w:color w:val="231F20"/>
        </w:rPr>
        <w:t>confidential by the Gaming Control Act (§ 10-15-1(H)(10)).</w:t>
      </w:r>
    </w:p>
    <w:p>
      <w:pPr>
        <w:pStyle w:val="BodyText"/>
        <w:spacing w:before="4"/>
        <w:rPr>
          <w:sz w:val="28"/>
        </w:rPr>
      </w:pPr>
    </w:p>
    <w:p>
      <w:pPr>
        <w:spacing w:before="0"/>
        <w:ind w:left="595" w:right="0" w:firstLine="0"/>
        <w:jc w:val="left"/>
        <w:rPr>
          <w:b/>
          <w:sz w:val="24"/>
        </w:rPr>
      </w:pPr>
      <w:bookmarkStart w:name="Closed Sessions – Procedures (§ 10-15-1(" w:id="284"/>
      <w:bookmarkEnd w:id="284"/>
      <w:r>
        <w:rPr/>
      </w:r>
      <w:r>
        <w:rPr>
          <w:b/>
          <w:color w:val="231F20"/>
          <w:sz w:val="24"/>
          <w:u w:val="thick" w:color="231F20"/>
        </w:rPr>
        <w:t>Closed</w:t>
      </w:r>
      <w:r>
        <w:rPr>
          <w:b/>
          <w:color w:val="231F20"/>
          <w:spacing w:val="-6"/>
          <w:sz w:val="24"/>
          <w:u w:val="thick" w:color="231F20"/>
        </w:rPr>
        <w:t> </w:t>
      </w:r>
      <w:r>
        <w:rPr>
          <w:b/>
          <w:color w:val="231F20"/>
          <w:sz w:val="24"/>
          <w:u w:val="thick" w:color="231F20"/>
        </w:rPr>
        <w:t>Sessions</w:t>
      </w:r>
      <w:r>
        <w:rPr>
          <w:b/>
          <w:color w:val="231F20"/>
          <w:spacing w:val="-5"/>
          <w:sz w:val="24"/>
          <w:u w:val="thick" w:color="231F20"/>
        </w:rPr>
        <w:t> </w:t>
      </w:r>
      <w:r>
        <w:rPr>
          <w:b/>
          <w:color w:val="231F20"/>
          <w:sz w:val="24"/>
          <w:u w:val="thick" w:color="231F20"/>
        </w:rPr>
        <w:t>–</w:t>
      </w:r>
      <w:r>
        <w:rPr>
          <w:b/>
          <w:color w:val="231F20"/>
          <w:spacing w:val="-6"/>
          <w:sz w:val="24"/>
          <w:u w:val="thick" w:color="231F20"/>
        </w:rPr>
        <w:t> </w:t>
      </w:r>
      <w:r>
        <w:rPr>
          <w:b/>
          <w:color w:val="231F20"/>
          <w:sz w:val="24"/>
          <w:u w:val="thick" w:color="231F20"/>
        </w:rPr>
        <w:t>Procedures</w:t>
      </w:r>
      <w:r>
        <w:rPr>
          <w:b/>
          <w:color w:val="231F20"/>
          <w:spacing w:val="-5"/>
          <w:sz w:val="24"/>
          <w:u w:val="thick" w:color="231F20"/>
        </w:rPr>
        <w:t> </w:t>
      </w:r>
      <w:r>
        <w:rPr>
          <w:b/>
          <w:color w:val="231F20"/>
          <w:sz w:val="24"/>
          <w:u w:val="thick" w:color="231F20"/>
        </w:rPr>
        <w:t>(§</w:t>
      </w:r>
      <w:r>
        <w:rPr>
          <w:b/>
          <w:color w:val="231F20"/>
          <w:spacing w:val="-5"/>
          <w:sz w:val="24"/>
          <w:u w:val="thick" w:color="231F20"/>
        </w:rPr>
        <w:t> </w:t>
      </w:r>
      <w:r>
        <w:rPr>
          <w:b/>
          <w:color w:val="231F20"/>
          <w:sz w:val="24"/>
          <w:u w:val="thick" w:color="231F20"/>
        </w:rPr>
        <w:t>10-15-</w:t>
      </w:r>
      <w:r>
        <w:rPr>
          <w:b/>
          <w:color w:val="231F20"/>
          <w:spacing w:val="-4"/>
          <w:sz w:val="24"/>
          <w:u w:val="thick" w:color="231F20"/>
        </w:rPr>
        <w:t>1(I))</w:t>
      </w:r>
    </w:p>
    <w:p>
      <w:pPr>
        <w:pStyle w:val="BodyText"/>
        <w:spacing w:before="10"/>
        <w:rPr>
          <w:b/>
          <w:sz w:val="21"/>
        </w:rPr>
      </w:pPr>
    </w:p>
    <w:p>
      <w:pPr>
        <w:pStyle w:val="BodyText"/>
        <w:spacing w:before="90"/>
        <w:ind w:left="595"/>
      </w:pPr>
      <w:r>
        <w:rPr>
          <w:color w:val="231F20"/>
        </w:rPr>
        <w:t>To</w:t>
      </w:r>
      <w:r>
        <w:rPr>
          <w:color w:val="231F20"/>
          <w:spacing w:val="-2"/>
        </w:rPr>
        <w:t> </w:t>
      </w:r>
      <w:r>
        <w:rPr>
          <w:color w:val="231F20"/>
        </w:rPr>
        <w:t>properly</w:t>
      </w:r>
      <w:r>
        <w:rPr>
          <w:color w:val="231F20"/>
          <w:spacing w:val="-6"/>
        </w:rPr>
        <w:t> </w:t>
      </w:r>
      <w:r>
        <w:rPr>
          <w:color w:val="231F20"/>
        </w:rPr>
        <w:t>close a</w:t>
      </w:r>
      <w:r>
        <w:rPr>
          <w:color w:val="231F20"/>
          <w:spacing w:val="-2"/>
        </w:rPr>
        <w:t> </w:t>
      </w:r>
      <w:r>
        <w:rPr>
          <w:color w:val="231F20"/>
        </w:rPr>
        <w:t>portion</w:t>
      </w:r>
      <w:r>
        <w:rPr>
          <w:color w:val="231F20"/>
          <w:spacing w:val="-1"/>
        </w:rPr>
        <w:t> </w:t>
      </w:r>
      <w:r>
        <w:rPr>
          <w:color w:val="231F20"/>
        </w:rPr>
        <w:t>of</w:t>
      </w:r>
      <w:r>
        <w:rPr>
          <w:color w:val="231F20"/>
          <w:spacing w:val="-3"/>
        </w:rPr>
        <w:t> </w:t>
      </w:r>
      <w:r>
        <w:rPr>
          <w:color w:val="231F20"/>
        </w:rPr>
        <w:t>an</w:t>
      </w:r>
      <w:r>
        <w:rPr>
          <w:color w:val="231F20"/>
          <w:spacing w:val="-1"/>
        </w:rPr>
        <w:t> </w:t>
      </w:r>
      <w:r>
        <w:rPr>
          <w:color w:val="231F20"/>
        </w:rPr>
        <w:t>open</w:t>
      </w:r>
      <w:r>
        <w:rPr>
          <w:color w:val="231F20"/>
          <w:spacing w:val="-1"/>
        </w:rPr>
        <w:t> </w:t>
      </w:r>
      <w:r>
        <w:rPr>
          <w:color w:val="231F20"/>
        </w:rPr>
        <w:t>meeting,</w:t>
      </w:r>
      <w:r>
        <w:rPr>
          <w:color w:val="231F20"/>
          <w:spacing w:val="-1"/>
        </w:rPr>
        <w:t> </w:t>
      </w:r>
      <w:r>
        <w:rPr>
          <w:color w:val="231F20"/>
        </w:rPr>
        <w:t>the</w:t>
      </w:r>
      <w:r>
        <w:rPr>
          <w:color w:val="231F20"/>
          <w:spacing w:val="-2"/>
        </w:rPr>
        <w:t> </w:t>
      </w:r>
      <w:r>
        <w:rPr>
          <w:color w:val="231F20"/>
        </w:rPr>
        <w:t>following</w:t>
      </w:r>
      <w:r>
        <w:rPr>
          <w:color w:val="231F20"/>
          <w:spacing w:val="-1"/>
        </w:rPr>
        <w:t> </w:t>
      </w:r>
      <w:r>
        <w:rPr>
          <w:color w:val="231F20"/>
        </w:rPr>
        <w:t>actions</w:t>
      </w:r>
      <w:r>
        <w:rPr>
          <w:color w:val="231F20"/>
          <w:spacing w:val="-2"/>
        </w:rPr>
        <w:t> </w:t>
      </w:r>
      <w:r>
        <w:rPr>
          <w:color w:val="231F20"/>
        </w:rPr>
        <w:t>must</w:t>
      </w:r>
      <w:r>
        <w:rPr>
          <w:color w:val="231F20"/>
          <w:spacing w:val="-1"/>
        </w:rPr>
        <w:t> </w:t>
      </w:r>
      <w:r>
        <w:rPr>
          <w:color w:val="231F20"/>
        </w:rPr>
        <w:t>be</w:t>
      </w:r>
      <w:r>
        <w:rPr>
          <w:color w:val="231F20"/>
          <w:spacing w:val="-2"/>
        </w:rPr>
        <w:t> taken:</w:t>
      </w:r>
    </w:p>
    <w:p>
      <w:pPr>
        <w:pStyle w:val="BodyText"/>
        <w:spacing w:before="9"/>
        <w:rPr>
          <w:sz w:val="29"/>
        </w:rPr>
      </w:pPr>
    </w:p>
    <w:p>
      <w:pPr>
        <w:pStyle w:val="BodyText"/>
        <w:tabs>
          <w:tab w:pos="1655" w:val="left" w:leader="none"/>
        </w:tabs>
        <w:ind w:left="1675" w:right="841" w:hanging="600"/>
      </w:pPr>
      <w:r>
        <w:rPr>
          <w:color w:val="231F20"/>
          <w:u w:val="single" w:color="231F20"/>
        </w:rPr>
        <w:tab/>
      </w:r>
      <w:r>
        <w:rPr>
          <w:color w:val="231F20"/>
        </w:rPr>
        <w:t>A motion stating the specific provision of law authorizing</w:t>
      </w:r>
      <w:r>
        <w:rPr>
          <w:color w:val="231F20"/>
          <w:spacing w:val="-1"/>
        </w:rPr>
        <w:t> </w:t>
      </w:r>
      <w:r>
        <w:rPr>
          <w:color w:val="231F20"/>
        </w:rPr>
        <w:t>the closed meeting and a reasonably specific description of the subject to be discussed.</w:t>
      </w:r>
    </w:p>
    <w:p>
      <w:pPr>
        <w:pStyle w:val="BodyText"/>
        <w:spacing w:before="2"/>
        <w:rPr>
          <w:sz w:val="28"/>
        </w:rPr>
      </w:pPr>
    </w:p>
    <w:p>
      <w:pPr>
        <w:pStyle w:val="BodyText"/>
        <w:tabs>
          <w:tab w:pos="1655" w:val="left" w:leader="none"/>
        </w:tabs>
        <w:spacing w:before="1"/>
        <w:ind w:left="1675" w:right="925" w:hanging="600"/>
      </w:pPr>
      <w:r>
        <w:rPr>
          <w:color w:val="231F20"/>
          <w:u w:val="single" w:color="231F20"/>
        </w:rPr>
        <w:tab/>
      </w:r>
      <w:r>
        <w:rPr>
          <w:color w:val="231F20"/>
        </w:rPr>
        <w:t>A roll call vote on the motion to close the meeting</w:t>
      </w:r>
      <w:r>
        <w:rPr>
          <w:color w:val="231F20"/>
          <w:spacing w:val="-1"/>
        </w:rPr>
        <w:t> </w:t>
      </w:r>
      <w:r>
        <w:rPr>
          <w:color w:val="231F20"/>
        </w:rPr>
        <w:t>in the open session, where the vote of each member is to be recorded in the minutes.</w:t>
      </w:r>
    </w:p>
    <w:p>
      <w:pPr>
        <w:pStyle w:val="BodyText"/>
        <w:spacing w:before="11"/>
        <w:rPr>
          <w:sz w:val="27"/>
        </w:rPr>
      </w:pPr>
    </w:p>
    <w:p>
      <w:pPr>
        <w:pStyle w:val="BodyText"/>
        <w:tabs>
          <w:tab w:pos="1675" w:val="left" w:leader="none"/>
        </w:tabs>
        <w:ind w:left="1075"/>
      </w:pPr>
      <w:bookmarkStart w:name="Only the matters stated in the motion to" w:id="285"/>
      <w:bookmarkEnd w:id="285"/>
      <w:r>
        <w:rPr/>
      </w:r>
      <w:r>
        <w:rPr>
          <w:color w:val="231F20"/>
          <w:u w:val="single" w:color="231F20"/>
        </w:rPr>
        <w:tab/>
      </w:r>
      <w:r>
        <w:rPr>
          <w:color w:val="231F20"/>
        </w:rPr>
        <w:t>Only</w:t>
      </w:r>
      <w:r>
        <w:rPr>
          <w:color w:val="231F20"/>
          <w:spacing w:val="-7"/>
        </w:rPr>
        <w:t> </w:t>
      </w:r>
      <w:r>
        <w:rPr>
          <w:color w:val="231F20"/>
        </w:rPr>
        <w:t>the</w:t>
      </w:r>
      <w:r>
        <w:rPr>
          <w:color w:val="231F20"/>
          <w:spacing w:val="-2"/>
        </w:rPr>
        <w:t> </w:t>
      </w:r>
      <w:r>
        <w:rPr>
          <w:color w:val="231F20"/>
        </w:rPr>
        <w:t>matters</w:t>
      </w:r>
      <w:r>
        <w:rPr>
          <w:color w:val="231F20"/>
          <w:spacing w:val="-1"/>
        </w:rPr>
        <w:t> </w:t>
      </w:r>
      <w:r>
        <w:rPr>
          <w:color w:val="231F20"/>
        </w:rPr>
        <w:t>stated</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motion</w:t>
      </w:r>
      <w:r>
        <w:rPr>
          <w:color w:val="231F20"/>
          <w:spacing w:val="-2"/>
        </w:rPr>
        <w:t> </w:t>
      </w:r>
      <w:r>
        <w:rPr>
          <w:color w:val="231F20"/>
        </w:rPr>
        <w:t>to</w:t>
      </w:r>
      <w:r>
        <w:rPr>
          <w:color w:val="231F20"/>
          <w:spacing w:val="-1"/>
        </w:rPr>
        <w:t> </w:t>
      </w:r>
      <w:r>
        <w:rPr>
          <w:color w:val="231F20"/>
        </w:rPr>
        <w:t>close</w:t>
      </w:r>
      <w:r>
        <w:rPr>
          <w:color w:val="231F20"/>
          <w:spacing w:val="-3"/>
        </w:rPr>
        <w:t> </w:t>
      </w:r>
      <w:r>
        <w:rPr>
          <w:color w:val="231F20"/>
        </w:rPr>
        <w:t>are discussed</w:t>
      </w:r>
      <w:r>
        <w:rPr>
          <w:color w:val="231F20"/>
          <w:spacing w:val="-1"/>
        </w:rPr>
        <w:t> </w:t>
      </w:r>
      <w:r>
        <w:rPr>
          <w:color w:val="231F20"/>
        </w:rPr>
        <w:t>in</w:t>
      </w:r>
      <w:r>
        <w:rPr>
          <w:color w:val="231F20"/>
          <w:spacing w:val="-2"/>
        </w:rPr>
        <w:t> </w:t>
      </w:r>
      <w:r>
        <w:rPr>
          <w:color w:val="231F20"/>
        </w:rPr>
        <w:t>the</w:t>
      </w:r>
      <w:r>
        <w:rPr>
          <w:color w:val="231F20"/>
          <w:spacing w:val="-2"/>
        </w:rPr>
        <w:t> </w:t>
      </w:r>
      <w:r>
        <w:rPr>
          <w:color w:val="231F20"/>
        </w:rPr>
        <w:t>closed</w:t>
      </w:r>
      <w:r>
        <w:rPr>
          <w:color w:val="231F20"/>
          <w:spacing w:val="-1"/>
        </w:rPr>
        <w:t> </w:t>
      </w:r>
      <w:r>
        <w:rPr>
          <w:color w:val="231F20"/>
          <w:spacing w:val="-2"/>
        </w:rPr>
        <w:t>session.</w:t>
      </w:r>
    </w:p>
    <w:p>
      <w:pPr>
        <w:pStyle w:val="BodyText"/>
        <w:rPr>
          <w:sz w:val="22"/>
        </w:rPr>
      </w:pPr>
    </w:p>
    <w:p>
      <w:pPr>
        <w:pStyle w:val="BodyText"/>
        <w:spacing w:before="90"/>
        <w:ind w:left="1675" w:right="1131" w:hanging="600"/>
        <w:jc w:val="both"/>
      </w:pPr>
      <w:bookmarkStart w:name="Generally, action on an item discussed i" w:id="286"/>
      <w:bookmarkEnd w:id="286"/>
      <w:r>
        <w:rPr/>
      </w:r>
      <w:r>
        <w:rPr>
          <w:color w:val="231F20"/>
          <w:spacing w:val="80"/>
          <w:w w:val="150"/>
          <w:u w:val="single" w:color="231F20"/>
        </w:rPr>
        <w:t>   </w:t>
      </w:r>
      <w:r>
        <w:rPr>
          <w:color w:val="231F20"/>
        </w:rPr>
        <w:t>Generally, action</w:t>
      </w:r>
      <w:r>
        <w:rPr>
          <w:color w:val="231F20"/>
          <w:spacing w:val="-2"/>
        </w:rPr>
        <w:t> </w:t>
      </w:r>
      <w:r>
        <w:rPr>
          <w:color w:val="231F20"/>
        </w:rPr>
        <w:t>on</w:t>
      </w:r>
      <w:r>
        <w:rPr>
          <w:color w:val="231F20"/>
          <w:spacing w:val="-2"/>
        </w:rPr>
        <w:t> </w:t>
      </w:r>
      <w:r>
        <w:rPr>
          <w:color w:val="231F20"/>
        </w:rPr>
        <w:t>an</w:t>
      </w:r>
      <w:r>
        <w:rPr>
          <w:color w:val="231F20"/>
          <w:spacing w:val="-2"/>
        </w:rPr>
        <w:t> </w:t>
      </w:r>
      <w:r>
        <w:rPr>
          <w:color w:val="231F20"/>
        </w:rPr>
        <w:t>item</w:t>
      </w:r>
      <w:r>
        <w:rPr>
          <w:color w:val="231F20"/>
          <w:spacing w:val="-2"/>
        </w:rPr>
        <w:t> </w:t>
      </w:r>
      <w:r>
        <w:rPr>
          <w:color w:val="231F20"/>
        </w:rPr>
        <w:t>discussed</w:t>
      </w:r>
      <w:r>
        <w:rPr>
          <w:color w:val="231F20"/>
          <w:spacing w:val="-2"/>
        </w:rPr>
        <w:t> </w:t>
      </w:r>
      <w:r>
        <w:rPr>
          <w:color w:val="231F20"/>
        </w:rPr>
        <w:t>in</w:t>
      </w:r>
      <w:r>
        <w:rPr>
          <w:color w:val="231F20"/>
          <w:spacing w:val="-2"/>
        </w:rPr>
        <w:t> </w:t>
      </w:r>
      <w:r>
        <w:rPr>
          <w:color w:val="231F20"/>
        </w:rPr>
        <w:t>a</w:t>
      </w:r>
      <w:r>
        <w:rPr>
          <w:color w:val="231F20"/>
          <w:spacing w:val="-3"/>
        </w:rPr>
        <w:t> </w:t>
      </w:r>
      <w:r>
        <w:rPr>
          <w:color w:val="231F20"/>
        </w:rPr>
        <w:t>closed session</w:t>
      </w:r>
      <w:r>
        <w:rPr>
          <w:color w:val="231F20"/>
          <w:spacing w:val="-2"/>
        </w:rPr>
        <w:t> </w:t>
      </w:r>
      <w:r>
        <w:rPr>
          <w:color w:val="231F20"/>
        </w:rPr>
        <w:t>must</w:t>
      </w:r>
      <w:r>
        <w:rPr>
          <w:color w:val="231F20"/>
          <w:spacing w:val="-2"/>
        </w:rPr>
        <w:t> </w:t>
      </w:r>
      <w:r>
        <w:rPr>
          <w:color w:val="231F20"/>
        </w:rPr>
        <w:t>be</w:t>
      </w:r>
      <w:r>
        <w:rPr>
          <w:color w:val="231F20"/>
          <w:spacing w:val="-3"/>
        </w:rPr>
        <w:t> </w:t>
      </w:r>
      <w:r>
        <w:rPr>
          <w:color w:val="231F20"/>
        </w:rPr>
        <w:t>taken</w:t>
      </w:r>
      <w:r>
        <w:rPr>
          <w:color w:val="231F20"/>
          <w:spacing w:val="-2"/>
        </w:rPr>
        <w:t> </w:t>
      </w:r>
      <w:r>
        <w:rPr>
          <w:color w:val="231F20"/>
        </w:rPr>
        <w:t>in</w:t>
      </w:r>
      <w:r>
        <w:rPr>
          <w:color w:val="231F20"/>
          <w:spacing w:val="-2"/>
        </w:rPr>
        <w:t> </w:t>
      </w:r>
      <w:r>
        <w:rPr>
          <w:color w:val="231F20"/>
        </w:rPr>
        <w:t>an</w:t>
      </w:r>
      <w:r>
        <w:rPr>
          <w:color w:val="231F20"/>
          <w:spacing w:val="-2"/>
        </w:rPr>
        <w:t> </w:t>
      </w:r>
      <w:r>
        <w:rPr>
          <w:color w:val="231F20"/>
        </w:rPr>
        <w:t>open</w:t>
      </w:r>
      <w:r>
        <w:rPr>
          <w:color w:val="231F20"/>
          <w:spacing w:val="-2"/>
        </w:rPr>
        <w:t> </w:t>
      </w:r>
      <w:r>
        <w:rPr>
          <w:color w:val="231F20"/>
        </w:rPr>
        <w:t>meeting (§ 10-15-1 (H)).</w:t>
      </w:r>
    </w:p>
    <w:p>
      <w:pPr>
        <w:pStyle w:val="BodyText"/>
        <w:rPr>
          <w:sz w:val="30"/>
        </w:rPr>
      </w:pPr>
    </w:p>
    <w:p>
      <w:pPr>
        <w:pStyle w:val="BodyText"/>
        <w:spacing w:before="1"/>
        <w:ind w:left="1675" w:right="1068" w:hanging="600"/>
        <w:jc w:val="both"/>
      </w:pPr>
      <w:r>
        <w:rPr>
          <w:color w:val="231F20"/>
          <w:spacing w:val="80"/>
          <w:w w:val="150"/>
          <w:u w:val="single" w:color="231F20"/>
        </w:rPr>
        <w:t>  </w:t>
      </w:r>
      <w:r>
        <w:rPr>
          <w:color w:val="231F20"/>
        </w:rPr>
        <w:t>After a closed meeting is completed, a statement affirming that the matters discussed in the closed meeting were limited to those stated in the</w:t>
      </w:r>
      <w:r>
        <w:rPr>
          <w:color w:val="231F20"/>
          <w:spacing w:val="-1"/>
        </w:rPr>
        <w:t> </w:t>
      </w:r>
      <w:r>
        <w:rPr>
          <w:color w:val="231F20"/>
        </w:rPr>
        <w:t>motion to close is recorded in the minutes (§ 10-15-1 (J)).</w:t>
      </w:r>
    </w:p>
    <w:p>
      <w:pPr>
        <w:pStyle w:val="BodyText"/>
        <w:spacing w:before="11"/>
        <w:rPr>
          <w:sz w:val="27"/>
        </w:rPr>
      </w:pPr>
    </w:p>
    <w:p>
      <w:pPr>
        <w:pStyle w:val="BodyText"/>
        <w:ind w:left="595"/>
      </w:pPr>
      <w:r>
        <w:rPr>
          <w:color w:val="231F20"/>
        </w:rPr>
        <w:t>For</w:t>
      </w:r>
      <w:r>
        <w:rPr>
          <w:color w:val="231F20"/>
          <w:spacing w:val="-2"/>
        </w:rPr>
        <w:t> </w:t>
      </w:r>
      <w:r>
        <w:rPr>
          <w:color w:val="231F20"/>
        </w:rPr>
        <w:t>closed</w:t>
      </w:r>
      <w:r>
        <w:rPr>
          <w:color w:val="231F20"/>
          <w:spacing w:val="-1"/>
        </w:rPr>
        <w:t> </w:t>
      </w:r>
      <w:r>
        <w:rPr>
          <w:color w:val="231F20"/>
        </w:rPr>
        <w:t>meetings</w:t>
      </w:r>
      <w:r>
        <w:rPr>
          <w:color w:val="231F20"/>
          <w:spacing w:val="-1"/>
        </w:rPr>
        <w:t> </w:t>
      </w:r>
      <w:r>
        <w:rPr>
          <w:color w:val="231F20"/>
        </w:rPr>
        <w:t>of</w:t>
      </w:r>
      <w:r>
        <w:rPr>
          <w:color w:val="231F20"/>
          <w:spacing w:val="-2"/>
        </w:rPr>
        <w:t> </w:t>
      </w:r>
      <w:r>
        <w:rPr>
          <w:color w:val="231F20"/>
        </w:rPr>
        <w:t>a public</w:t>
      </w:r>
      <w:r>
        <w:rPr>
          <w:color w:val="231F20"/>
          <w:spacing w:val="-2"/>
        </w:rPr>
        <w:t> </w:t>
      </w:r>
      <w:r>
        <w:rPr>
          <w:color w:val="231F20"/>
        </w:rPr>
        <w:t>body</w:t>
      </w:r>
      <w:r>
        <w:rPr>
          <w:color w:val="231F20"/>
          <w:spacing w:val="-5"/>
        </w:rPr>
        <w:t> </w:t>
      </w:r>
      <w:r>
        <w:rPr>
          <w:color w:val="231F20"/>
        </w:rPr>
        <w:t>held</w:t>
      </w:r>
      <w:r>
        <w:rPr>
          <w:color w:val="231F20"/>
          <w:spacing w:val="-1"/>
        </w:rPr>
        <w:t> </w:t>
      </w:r>
      <w:r>
        <w:rPr>
          <w:color w:val="231F20"/>
        </w:rPr>
        <w:t>separate</w:t>
      </w:r>
      <w:r>
        <w:rPr>
          <w:color w:val="231F20"/>
          <w:spacing w:val="-2"/>
        </w:rPr>
        <w:t> </w:t>
      </w:r>
      <w:r>
        <w:rPr>
          <w:color w:val="231F20"/>
        </w:rPr>
        <w:t>from</w:t>
      </w:r>
      <w:r>
        <w:rPr>
          <w:color w:val="231F20"/>
          <w:spacing w:val="-1"/>
        </w:rPr>
        <w:t> </w:t>
      </w:r>
      <w:r>
        <w:rPr>
          <w:color w:val="231F20"/>
        </w:rPr>
        <w:t>an</w:t>
      </w:r>
      <w:r>
        <w:rPr>
          <w:color w:val="231F20"/>
          <w:spacing w:val="-1"/>
        </w:rPr>
        <w:t> </w:t>
      </w:r>
      <w:r>
        <w:rPr>
          <w:color w:val="231F20"/>
        </w:rPr>
        <w:t>open meeting,</w:t>
      </w:r>
      <w:r>
        <w:rPr>
          <w:color w:val="231F20"/>
          <w:spacing w:val="1"/>
        </w:rPr>
        <w:t> </w:t>
      </w:r>
      <w:r>
        <w:rPr>
          <w:color w:val="231F20"/>
        </w:rPr>
        <w:t>the</w:t>
      </w:r>
      <w:r>
        <w:rPr>
          <w:color w:val="231F20"/>
          <w:spacing w:val="-2"/>
        </w:rPr>
        <w:t> </w:t>
      </w:r>
      <w:r>
        <w:rPr>
          <w:color w:val="231F20"/>
        </w:rPr>
        <w:t>above</w:t>
      </w:r>
      <w:r>
        <w:rPr>
          <w:color w:val="231F20"/>
          <w:spacing w:val="-2"/>
        </w:rPr>
        <w:t> </w:t>
      </w:r>
      <w:r>
        <w:rPr>
          <w:color w:val="231F20"/>
        </w:rPr>
        <w:t>criteria</w:t>
      </w:r>
      <w:r>
        <w:rPr>
          <w:color w:val="231F20"/>
          <w:spacing w:val="-2"/>
        </w:rPr>
        <w:t> </w:t>
      </w:r>
      <w:r>
        <w:rPr>
          <w:color w:val="231F20"/>
        </w:rPr>
        <w:t>apply</w:t>
      </w:r>
      <w:r>
        <w:rPr>
          <w:color w:val="231F20"/>
          <w:spacing w:val="-4"/>
        </w:rPr>
        <w:t> </w:t>
      </w:r>
      <w:r>
        <w:rPr>
          <w:color w:val="231F20"/>
          <w:spacing w:val="-2"/>
        </w:rPr>
        <w:t>except:</w:t>
      </w:r>
    </w:p>
    <w:p>
      <w:pPr>
        <w:pStyle w:val="BodyText"/>
        <w:rPr>
          <w:sz w:val="30"/>
        </w:rPr>
      </w:pPr>
    </w:p>
    <w:p>
      <w:pPr>
        <w:pStyle w:val="BodyText"/>
        <w:ind w:left="1675" w:right="1106" w:hanging="600"/>
        <w:jc w:val="both"/>
      </w:pPr>
      <w:r>
        <w:rPr>
          <w:color w:val="231F20"/>
          <w:spacing w:val="80"/>
          <w:u w:val="single" w:color="231F20"/>
        </w:rPr>
        <w:t>  </w:t>
      </w:r>
      <w:r>
        <w:rPr>
          <w:color w:val="231F20"/>
        </w:rPr>
        <w:t>Instead of a motion to close, appropriate public notice is provided that includes the specific provision of law authorizing the closed meeting and a reasonably</w:t>
      </w:r>
      <w:r>
        <w:rPr>
          <w:color w:val="231F20"/>
          <w:spacing w:val="-2"/>
        </w:rPr>
        <w:t> </w:t>
      </w:r>
      <w:r>
        <w:rPr>
          <w:color w:val="231F20"/>
        </w:rPr>
        <w:t>specific description of the subject to be discussed (§ 10-15-1 (I)(2)).</w:t>
      </w:r>
    </w:p>
    <w:p>
      <w:pPr>
        <w:spacing w:after="0"/>
        <w:jc w:val="both"/>
        <w:sectPr>
          <w:pgSz w:w="12240" w:h="15840"/>
          <w:pgMar w:header="660" w:footer="484" w:top="960" w:bottom="900" w:left="360" w:right="240"/>
        </w:sectPr>
      </w:pPr>
    </w:p>
    <w:p>
      <w:pPr>
        <w:pStyle w:val="BodyText"/>
        <w:rPr>
          <w:sz w:val="20"/>
        </w:rPr>
      </w:pPr>
    </w:p>
    <w:p>
      <w:pPr>
        <w:pStyle w:val="BodyText"/>
        <w:spacing w:before="7"/>
        <w:rPr>
          <w:sz w:val="23"/>
        </w:rPr>
      </w:pPr>
    </w:p>
    <w:p>
      <w:pPr>
        <w:pStyle w:val="BodyText"/>
        <w:spacing w:before="90"/>
        <w:ind w:left="1675" w:right="762" w:hanging="600"/>
        <w:jc w:val="both"/>
      </w:pPr>
      <w:r>
        <w:rPr>
          <w:color w:val="231F20"/>
          <w:spacing w:val="80"/>
          <w:u w:val="single" w:color="231F20"/>
        </w:rPr>
        <w:t>   </w:t>
      </w:r>
      <w:r>
        <w:rPr>
          <w:color w:val="231F20"/>
        </w:rPr>
        <w:t>Following completion of the closed meeting, a statement is entered into the minutes of the next open meeting specifying that the matters discussed in the closed meeting were limited to those stated in the notice of the closed meeting (§ 10-15-1 (J)).</w:t>
      </w:r>
    </w:p>
    <w:p>
      <w:pPr>
        <w:pStyle w:val="BodyText"/>
        <w:spacing w:before="5"/>
      </w:pPr>
    </w:p>
    <w:p>
      <w:pPr>
        <w:spacing w:before="0"/>
        <w:ind w:left="1075" w:right="0" w:firstLine="0"/>
        <w:jc w:val="left"/>
        <w:rPr>
          <w:b/>
          <w:sz w:val="24"/>
        </w:rPr>
      </w:pPr>
      <w:bookmarkStart w:name="Meeting Minutes (§ 10-15-1 (G))" w:id="287"/>
      <w:bookmarkEnd w:id="287"/>
      <w:r>
        <w:rPr/>
      </w:r>
      <w:r>
        <w:rPr>
          <w:b/>
          <w:color w:val="231F20"/>
          <w:sz w:val="24"/>
          <w:u w:val="thick" w:color="231F20"/>
        </w:rPr>
        <w:t>Meeting</w:t>
      </w:r>
      <w:r>
        <w:rPr>
          <w:b/>
          <w:color w:val="231F20"/>
          <w:spacing w:val="-4"/>
          <w:sz w:val="24"/>
          <w:u w:val="thick" w:color="231F20"/>
        </w:rPr>
        <w:t> </w:t>
      </w:r>
      <w:r>
        <w:rPr>
          <w:b/>
          <w:color w:val="231F20"/>
          <w:sz w:val="24"/>
          <w:u w:val="thick" w:color="231F20"/>
        </w:rPr>
        <w:t>Minutes</w:t>
      </w:r>
      <w:r>
        <w:rPr>
          <w:b/>
          <w:color w:val="231F20"/>
          <w:spacing w:val="-3"/>
          <w:sz w:val="24"/>
          <w:u w:val="thick" w:color="231F20"/>
        </w:rPr>
        <w:t> </w:t>
      </w:r>
      <w:r>
        <w:rPr>
          <w:b/>
          <w:color w:val="231F20"/>
          <w:sz w:val="24"/>
          <w:u w:val="thick" w:color="231F20"/>
        </w:rPr>
        <w:t>(§</w:t>
      </w:r>
      <w:r>
        <w:rPr>
          <w:b/>
          <w:color w:val="231F20"/>
          <w:spacing w:val="-3"/>
          <w:sz w:val="24"/>
          <w:u w:val="thick" w:color="231F20"/>
        </w:rPr>
        <w:t> </w:t>
      </w:r>
      <w:r>
        <w:rPr>
          <w:b/>
          <w:color w:val="231F20"/>
          <w:sz w:val="24"/>
          <w:u w:val="thick" w:color="231F20"/>
        </w:rPr>
        <w:t>10-15-1</w:t>
      </w:r>
      <w:r>
        <w:rPr>
          <w:b/>
          <w:color w:val="231F20"/>
          <w:spacing w:val="-3"/>
          <w:sz w:val="24"/>
          <w:u w:val="thick" w:color="231F20"/>
        </w:rPr>
        <w:t> </w:t>
      </w:r>
      <w:r>
        <w:rPr>
          <w:b/>
          <w:color w:val="231F20"/>
          <w:spacing w:val="-4"/>
          <w:sz w:val="24"/>
          <w:u w:val="thick" w:color="231F20"/>
        </w:rPr>
        <w:t>(G))</w:t>
      </w:r>
    </w:p>
    <w:p>
      <w:pPr>
        <w:pStyle w:val="BodyText"/>
        <w:spacing w:before="9"/>
        <w:rPr>
          <w:b/>
          <w:sz w:val="21"/>
        </w:rPr>
      </w:pPr>
    </w:p>
    <w:p>
      <w:pPr>
        <w:pStyle w:val="BodyText"/>
        <w:spacing w:before="90"/>
        <w:ind w:left="1075"/>
      </w:pPr>
      <w:r>
        <w:rPr>
          <w:color w:val="231F20"/>
        </w:rPr>
        <w:t>If</w:t>
      </w:r>
      <w:r>
        <w:rPr>
          <w:color w:val="231F20"/>
          <w:spacing w:val="-4"/>
        </w:rPr>
        <w:t> </w:t>
      </w:r>
      <w:r>
        <w:rPr>
          <w:color w:val="231F20"/>
        </w:rPr>
        <w:t>the</w:t>
      </w:r>
      <w:r>
        <w:rPr>
          <w:color w:val="231F20"/>
          <w:spacing w:val="-5"/>
        </w:rPr>
        <w:t> </w:t>
      </w:r>
      <w:r>
        <w:rPr>
          <w:color w:val="231F20"/>
        </w:rPr>
        <w:t>meeting</w:t>
      </w:r>
      <w:r>
        <w:rPr>
          <w:color w:val="231F20"/>
          <w:spacing w:val="-7"/>
        </w:rPr>
        <w:t> </w:t>
      </w:r>
      <w:r>
        <w:rPr>
          <w:color w:val="231F20"/>
        </w:rPr>
        <w:t>is</w:t>
      </w:r>
      <w:r>
        <w:rPr>
          <w:color w:val="231F20"/>
          <w:spacing w:val="-3"/>
        </w:rPr>
        <w:t> </w:t>
      </w:r>
      <w:r>
        <w:rPr>
          <w:color w:val="231F20"/>
        </w:rPr>
        <w:t>open,</w:t>
      </w:r>
      <w:r>
        <w:rPr>
          <w:color w:val="231F20"/>
          <w:spacing w:val="-4"/>
        </w:rPr>
        <w:t> </w:t>
      </w:r>
      <w:r>
        <w:rPr>
          <w:color w:val="231F20"/>
        </w:rPr>
        <w:t>written</w:t>
      </w:r>
      <w:r>
        <w:rPr>
          <w:color w:val="231F20"/>
          <w:spacing w:val="-4"/>
        </w:rPr>
        <w:t> </w:t>
      </w:r>
      <w:r>
        <w:rPr>
          <w:color w:val="231F20"/>
        </w:rPr>
        <w:t>minutes</w:t>
      </w:r>
      <w:r>
        <w:rPr>
          <w:color w:val="231F20"/>
          <w:spacing w:val="-3"/>
        </w:rPr>
        <w:t> </w:t>
      </w:r>
      <w:r>
        <w:rPr>
          <w:color w:val="231F20"/>
        </w:rPr>
        <w:t>are</w:t>
      </w:r>
      <w:r>
        <w:rPr>
          <w:color w:val="231F20"/>
          <w:spacing w:val="-5"/>
        </w:rPr>
        <w:t> </w:t>
      </w:r>
      <w:r>
        <w:rPr>
          <w:color w:val="231F20"/>
        </w:rPr>
        <w:t>required.</w:t>
      </w:r>
      <w:r>
        <w:rPr>
          <w:color w:val="231F20"/>
          <w:spacing w:val="-3"/>
        </w:rPr>
        <w:t> </w:t>
      </w:r>
      <w:r>
        <w:rPr>
          <w:color w:val="231F20"/>
        </w:rPr>
        <w:t>Minutes</w:t>
      </w:r>
      <w:r>
        <w:rPr>
          <w:color w:val="231F20"/>
          <w:spacing w:val="-4"/>
        </w:rPr>
        <w:t> </w:t>
      </w:r>
      <w:r>
        <w:rPr>
          <w:color w:val="231F20"/>
        </w:rPr>
        <w:t>must</w:t>
      </w:r>
      <w:r>
        <w:rPr>
          <w:color w:val="231F20"/>
          <w:spacing w:val="-3"/>
        </w:rPr>
        <w:t> </w:t>
      </w:r>
      <w:r>
        <w:rPr>
          <w:color w:val="231F20"/>
        </w:rPr>
        <w:t>contain</w:t>
      </w:r>
      <w:r>
        <w:rPr>
          <w:color w:val="231F20"/>
          <w:spacing w:val="-4"/>
        </w:rPr>
        <w:t> </w:t>
      </w:r>
      <w:r>
        <w:rPr>
          <w:color w:val="231F20"/>
        </w:rPr>
        <w:t>at</w:t>
      </w:r>
      <w:r>
        <w:rPr>
          <w:color w:val="231F20"/>
          <w:spacing w:val="-3"/>
        </w:rPr>
        <w:t> </w:t>
      </w:r>
      <w:r>
        <w:rPr>
          <w:color w:val="231F20"/>
          <w:spacing w:val="-2"/>
        </w:rPr>
        <w:t>least:</w:t>
      </w:r>
    </w:p>
    <w:p>
      <w:pPr>
        <w:pStyle w:val="BodyText"/>
      </w:pPr>
    </w:p>
    <w:p>
      <w:pPr>
        <w:pStyle w:val="BodyText"/>
        <w:tabs>
          <w:tab w:pos="2135" w:val="left" w:leader="none"/>
        </w:tabs>
        <w:ind w:left="1555"/>
      </w:pPr>
      <w:r>
        <w:rPr>
          <w:color w:val="231F20"/>
          <w:u w:val="single" w:color="231F20"/>
        </w:rPr>
        <w:tab/>
      </w:r>
      <w:r>
        <w:rPr>
          <w:color w:val="231F20"/>
        </w:rPr>
        <w:t>The</w:t>
      </w:r>
      <w:r>
        <w:rPr>
          <w:color w:val="231F20"/>
          <w:spacing w:val="-2"/>
        </w:rPr>
        <w:t> </w:t>
      </w:r>
      <w:r>
        <w:rPr>
          <w:color w:val="231F20"/>
        </w:rPr>
        <w:t>date,</w:t>
      </w:r>
      <w:r>
        <w:rPr>
          <w:color w:val="231F20"/>
          <w:spacing w:val="-1"/>
        </w:rPr>
        <w:t> </w:t>
      </w:r>
      <w:r>
        <w:rPr>
          <w:color w:val="231F20"/>
        </w:rPr>
        <w:t>time</w:t>
      </w:r>
      <w:r>
        <w:rPr>
          <w:color w:val="231F20"/>
          <w:spacing w:val="-2"/>
        </w:rPr>
        <w:t> </w:t>
      </w:r>
      <w:r>
        <w:rPr>
          <w:color w:val="231F20"/>
        </w:rPr>
        <w:t>and</w:t>
      </w:r>
      <w:r>
        <w:rPr>
          <w:color w:val="231F20"/>
          <w:spacing w:val="-1"/>
        </w:rPr>
        <w:t> </w:t>
      </w:r>
      <w:r>
        <w:rPr>
          <w:color w:val="231F20"/>
        </w:rPr>
        <w:t>place</w:t>
      </w:r>
      <w:r>
        <w:rPr>
          <w:color w:val="231F20"/>
          <w:spacing w:val="-1"/>
        </w:rPr>
        <w:t> </w:t>
      </w:r>
      <w:r>
        <w:rPr>
          <w:color w:val="231F20"/>
        </w:rPr>
        <w:t>of</w:t>
      </w:r>
      <w:r>
        <w:rPr>
          <w:color w:val="231F20"/>
          <w:spacing w:val="-1"/>
        </w:rPr>
        <w:t> </w:t>
      </w:r>
      <w:r>
        <w:rPr>
          <w:color w:val="231F20"/>
        </w:rPr>
        <w:t>the</w:t>
      </w:r>
      <w:r>
        <w:rPr>
          <w:color w:val="231F20"/>
          <w:spacing w:val="-2"/>
        </w:rPr>
        <w:t> </w:t>
      </w:r>
      <w:r>
        <w:rPr>
          <w:color w:val="231F20"/>
        </w:rPr>
        <w:t>meeting;</w:t>
      </w:r>
      <w:r>
        <w:rPr>
          <w:color w:val="231F20"/>
          <w:spacing w:val="-1"/>
        </w:rPr>
        <w:t> </w:t>
      </w:r>
      <w:r>
        <w:rPr>
          <w:color w:val="231F20"/>
          <w:spacing w:val="-5"/>
          <w:u w:val="single" w:color="231F20"/>
        </w:rPr>
        <w:t>and</w:t>
      </w:r>
    </w:p>
    <w:p>
      <w:pPr>
        <w:pStyle w:val="BodyText"/>
        <w:spacing w:before="1"/>
        <w:rPr>
          <w:sz w:val="22"/>
        </w:rPr>
      </w:pPr>
    </w:p>
    <w:p>
      <w:pPr>
        <w:pStyle w:val="BodyText"/>
        <w:tabs>
          <w:tab w:pos="2135" w:val="left" w:leader="none"/>
        </w:tabs>
        <w:spacing w:before="90"/>
        <w:ind w:left="2155" w:right="277" w:hanging="600"/>
      </w:pPr>
      <w:r>
        <w:rPr>
          <w:color w:val="231F20"/>
          <w:u w:val="single" w:color="231F20"/>
        </w:rPr>
        <w:tab/>
      </w:r>
      <w:r>
        <w:rPr>
          <w:color w:val="231F20"/>
        </w:rPr>
        <w:t>The names of all members of the public body attending the meeting and of those members who are absent; </w:t>
      </w:r>
      <w:r>
        <w:rPr>
          <w:color w:val="231F20"/>
          <w:u w:val="single" w:color="231F20"/>
        </w:rPr>
        <w:t>and</w:t>
      </w:r>
    </w:p>
    <w:p>
      <w:pPr>
        <w:pStyle w:val="BodyText"/>
        <w:spacing w:before="4"/>
        <w:rPr>
          <w:sz w:val="20"/>
        </w:rPr>
      </w:pPr>
    </w:p>
    <w:p>
      <w:pPr>
        <w:pStyle w:val="BodyText"/>
        <w:tabs>
          <w:tab w:pos="580" w:val="left" w:leader="none"/>
        </w:tabs>
        <w:spacing w:before="90"/>
        <w:ind w:right="58"/>
        <w:jc w:val="center"/>
      </w:pPr>
      <w:bookmarkStart w:name="A description of the substance of all pr" w:id="288"/>
      <w:bookmarkEnd w:id="288"/>
      <w:r>
        <w:rPr/>
      </w:r>
      <w:r>
        <w:rPr>
          <w:color w:val="231F20"/>
          <w:u w:val="single" w:color="231F20"/>
        </w:rPr>
        <w:tab/>
      </w:r>
      <w:r>
        <w:rPr>
          <w:color w:val="231F20"/>
        </w:rPr>
        <w:t>A</w:t>
      </w:r>
      <w:r>
        <w:rPr>
          <w:color w:val="231F20"/>
          <w:spacing w:val="-3"/>
        </w:rPr>
        <w:t> </w:t>
      </w:r>
      <w:r>
        <w:rPr>
          <w:color w:val="231F20"/>
        </w:rPr>
        <w:t>description</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substance</w:t>
      </w:r>
      <w:r>
        <w:rPr>
          <w:color w:val="231F20"/>
          <w:spacing w:val="-2"/>
        </w:rPr>
        <w:t> </w:t>
      </w:r>
      <w:r>
        <w:rPr>
          <w:color w:val="231F20"/>
        </w:rPr>
        <w:t>of</w:t>
      </w:r>
      <w:r>
        <w:rPr>
          <w:color w:val="231F20"/>
          <w:spacing w:val="-1"/>
        </w:rPr>
        <w:t> </w:t>
      </w:r>
      <w:r>
        <w:rPr>
          <w:color w:val="231F20"/>
        </w:rPr>
        <w:t>all</w:t>
      </w:r>
      <w:r>
        <w:rPr>
          <w:color w:val="231F20"/>
          <w:spacing w:val="-1"/>
        </w:rPr>
        <w:t> </w:t>
      </w:r>
      <w:r>
        <w:rPr>
          <w:color w:val="231F20"/>
        </w:rPr>
        <w:t>proposals</w:t>
      </w:r>
      <w:r>
        <w:rPr>
          <w:color w:val="231F20"/>
          <w:spacing w:val="-2"/>
        </w:rPr>
        <w:t> </w:t>
      </w:r>
      <w:r>
        <w:rPr>
          <w:color w:val="231F20"/>
        </w:rPr>
        <w:t>considered</w:t>
      </w:r>
      <w:r>
        <w:rPr>
          <w:color w:val="231F20"/>
          <w:spacing w:val="-2"/>
        </w:rPr>
        <w:t> </w:t>
      </w:r>
      <w:r>
        <w:rPr>
          <w:color w:val="231F20"/>
        </w:rPr>
        <w:t>during</w:t>
      </w:r>
      <w:r>
        <w:rPr>
          <w:color w:val="231F20"/>
          <w:spacing w:val="-4"/>
        </w:rPr>
        <w:t> </w:t>
      </w:r>
      <w:r>
        <w:rPr>
          <w:color w:val="231F20"/>
        </w:rPr>
        <w:t>the</w:t>
      </w:r>
      <w:r>
        <w:rPr>
          <w:color w:val="231F20"/>
          <w:spacing w:val="-3"/>
        </w:rPr>
        <w:t> </w:t>
      </w:r>
      <w:r>
        <w:rPr>
          <w:color w:val="231F20"/>
        </w:rPr>
        <w:t>meeting;</w:t>
      </w:r>
      <w:r>
        <w:rPr>
          <w:color w:val="231F20"/>
          <w:spacing w:val="-1"/>
        </w:rPr>
        <w:t> </w:t>
      </w:r>
      <w:r>
        <w:rPr>
          <w:color w:val="231F20"/>
          <w:spacing w:val="-5"/>
          <w:u w:val="single" w:color="231F20"/>
        </w:rPr>
        <w:t>and</w:t>
      </w:r>
    </w:p>
    <w:p>
      <w:pPr>
        <w:pStyle w:val="BodyText"/>
        <w:rPr>
          <w:sz w:val="22"/>
        </w:rPr>
      </w:pPr>
    </w:p>
    <w:p>
      <w:pPr>
        <w:pStyle w:val="BodyText"/>
        <w:tabs>
          <w:tab w:pos="2135" w:val="left" w:leader="none"/>
        </w:tabs>
        <w:spacing w:before="90"/>
        <w:ind w:left="2155" w:right="324" w:hanging="600"/>
      </w:pPr>
      <w:r>
        <w:rPr>
          <w:color w:val="231F20"/>
          <w:u w:val="single" w:color="231F20"/>
        </w:rPr>
        <w:tab/>
      </w:r>
      <w:r>
        <w:rPr>
          <w:color w:val="231F20"/>
        </w:rPr>
        <w:t>A record of any</w:t>
      </w:r>
      <w:r>
        <w:rPr>
          <w:color w:val="231F20"/>
          <w:spacing w:val="-3"/>
        </w:rPr>
        <w:t> </w:t>
      </w:r>
      <w:r>
        <w:rPr>
          <w:color w:val="231F20"/>
        </w:rPr>
        <w:t>decisions made and votes taken that shows how each member voted (voting</w:t>
      </w:r>
      <w:r>
        <w:rPr>
          <w:color w:val="231F20"/>
          <w:spacing w:val="-1"/>
        </w:rPr>
        <w:t> </w:t>
      </w:r>
      <w:r>
        <w:rPr>
          <w:color w:val="231F20"/>
        </w:rPr>
        <w:t>by secret ballot is not permitted).</w:t>
      </w:r>
    </w:p>
    <w:p>
      <w:pPr>
        <w:pStyle w:val="BodyText"/>
        <w:spacing w:before="11"/>
        <w:rPr>
          <w:sz w:val="27"/>
        </w:rPr>
      </w:pPr>
    </w:p>
    <w:p>
      <w:pPr>
        <w:pStyle w:val="BodyText"/>
        <w:ind w:left="1075"/>
      </w:pPr>
      <w:r>
        <w:rPr>
          <w:color w:val="231F20"/>
        </w:rPr>
        <w:t>The</w:t>
      </w:r>
      <w:r>
        <w:rPr>
          <w:color w:val="231F20"/>
          <w:spacing w:val="-4"/>
        </w:rPr>
        <w:t> </w:t>
      </w:r>
      <w:r>
        <w:rPr>
          <w:color w:val="231F20"/>
        </w:rPr>
        <w:t>following</w:t>
      </w:r>
      <w:r>
        <w:rPr>
          <w:color w:val="231F20"/>
          <w:spacing w:val="-2"/>
        </w:rPr>
        <w:t> </w:t>
      </w:r>
      <w:r>
        <w:rPr>
          <w:color w:val="231F20"/>
        </w:rPr>
        <w:t>also</w:t>
      </w:r>
      <w:r>
        <w:rPr>
          <w:color w:val="231F20"/>
          <w:spacing w:val="-2"/>
        </w:rPr>
        <w:t> </w:t>
      </w:r>
      <w:r>
        <w:rPr>
          <w:color w:val="231F20"/>
        </w:rPr>
        <w:t>applies</w:t>
      </w:r>
      <w:r>
        <w:rPr>
          <w:color w:val="231F20"/>
          <w:spacing w:val="-2"/>
        </w:rPr>
        <w:t> </w:t>
      </w:r>
      <w:r>
        <w:rPr>
          <w:color w:val="231F20"/>
        </w:rPr>
        <w:t>to</w:t>
      </w:r>
      <w:r>
        <w:rPr>
          <w:color w:val="231F20"/>
          <w:spacing w:val="-2"/>
        </w:rPr>
        <w:t> </w:t>
      </w:r>
      <w:r>
        <w:rPr>
          <w:color w:val="231F20"/>
        </w:rPr>
        <w:t>meeting</w:t>
      </w:r>
      <w:r>
        <w:rPr>
          <w:color w:val="231F20"/>
          <w:spacing w:val="-5"/>
        </w:rPr>
        <w:t> </w:t>
      </w:r>
      <w:r>
        <w:rPr>
          <w:color w:val="231F20"/>
          <w:spacing w:val="-2"/>
        </w:rPr>
        <w:t>minutes:</w:t>
      </w:r>
    </w:p>
    <w:p>
      <w:pPr>
        <w:pStyle w:val="BodyText"/>
        <w:spacing w:before="1"/>
        <w:rPr>
          <w:sz w:val="30"/>
        </w:rPr>
      </w:pPr>
    </w:p>
    <w:p>
      <w:pPr>
        <w:pStyle w:val="BodyText"/>
        <w:tabs>
          <w:tab w:pos="892" w:val="left" w:leader="none"/>
        </w:tabs>
        <w:ind w:left="311"/>
        <w:jc w:val="center"/>
      </w:pPr>
      <w:bookmarkStart w:name="A draft copy of the minutes is prepared " w:id="289"/>
      <w:bookmarkEnd w:id="289"/>
      <w:r>
        <w:rPr/>
      </w:r>
      <w:r>
        <w:rPr>
          <w:color w:val="231F20"/>
          <w:u w:val="single" w:color="231F20"/>
        </w:rPr>
        <w:tab/>
      </w:r>
      <w:r>
        <w:rPr>
          <w:color w:val="231F20"/>
        </w:rPr>
        <w:t>A</w:t>
      </w:r>
      <w:r>
        <w:rPr>
          <w:color w:val="231F20"/>
          <w:spacing w:val="-3"/>
        </w:rPr>
        <w:t> </w:t>
      </w:r>
      <w:r>
        <w:rPr>
          <w:color w:val="231F20"/>
        </w:rPr>
        <w:t>draft</w:t>
      </w:r>
      <w:r>
        <w:rPr>
          <w:color w:val="231F20"/>
          <w:spacing w:val="-1"/>
        </w:rPr>
        <w:t> </w:t>
      </w:r>
      <w:r>
        <w:rPr>
          <w:color w:val="231F20"/>
        </w:rPr>
        <w:t>copy</w:t>
      </w:r>
      <w:r>
        <w:rPr>
          <w:color w:val="231F20"/>
          <w:spacing w:val="-7"/>
        </w:rPr>
        <w:t> </w:t>
      </w:r>
      <w:r>
        <w:rPr>
          <w:color w:val="231F20"/>
        </w:rPr>
        <w:t>of</w:t>
      </w:r>
      <w:r>
        <w:rPr>
          <w:color w:val="231F20"/>
          <w:spacing w:val="-2"/>
        </w:rPr>
        <w:t> </w:t>
      </w:r>
      <w:r>
        <w:rPr>
          <w:color w:val="231F20"/>
        </w:rPr>
        <w:t>the</w:t>
      </w:r>
      <w:r>
        <w:rPr>
          <w:color w:val="231F20"/>
          <w:spacing w:val="-2"/>
        </w:rPr>
        <w:t> </w:t>
      </w:r>
      <w:r>
        <w:rPr>
          <w:color w:val="231F20"/>
        </w:rPr>
        <w:t>minutes</w:t>
      </w:r>
      <w:r>
        <w:rPr>
          <w:color w:val="231F20"/>
          <w:spacing w:val="-2"/>
        </w:rPr>
        <w:t> </w:t>
      </w:r>
      <w:r>
        <w:rPr>
          <w:color w:val="231F20"/>
        </w:rPr>
        <w:t>is</w:t>
      </w:r>
      <w:r>
        <w:rPr>
          <w:color w:val="231F20"/>
          <w:spacing w:val="-1"/>
        </w:rPr>
        <w:t> </w:t>
      </w:r>
      <w:r>
        <w:rPr>
          <w:color w:val="231F20"/>
        </w:rPr>
        <w:t>prepared</w:t>
      </w:r>
      <w:r>
        <w:rPr>
          <w:color w:val="231F20"/>
          <w:spacing w:val="-2"/>
        </w:rPr>
        <w:t> </w:t>
      </w:r>
      <w:r>
        <w:rPr>
          <w:color w:val="231F20"/>
        </w:rPr>
        <w:t>within</w:t>
      </w:r>
      <w:r>
        <w:rPr>
          <w:color w:val="231F20"/>
          <w:spacing w:val="-1"/>
        </w:rPr>
        <w:t> </w:t>
      </w:r>
      <w:r>
        <w:rPr>
          <w:color w:val="231F20"/>
        </w:rPr>
        <w:t>10</w:t>
      </w:r>
      <w:r>
        <w:rPr>
          <w:color w:val="231F20"/>
          <w:spacing w:val="-1"/>
        </w:rPr>
        <w:t> </w:t>
      </w:r>
      <w:r>
        <w:rPr>
          <w:color w:val="231F20"/>
        </w:rPr>
        <w:t>working</w:t>
      </w:r>
      <w:r>
        <w:rPr>
          <w:color w:val="231F20"/>
          <w:spacing w:val="-5"/>
        </w:rPr>
        <w:t> </w:t>
      </w:r>
      <w:r>
        <w:rPr>
          <w:color w:val="231F20"/>
        </w:rPr>
        <w:t>days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public</w:t>
      </w:r>
      <w:r>
        <w:rPr>
          <w:color w:val="231F20"/>
          <w:spacing w:val="-3"/>
        </w:rPr>
        <w:t> </w:t>
      </w:r>
      <w:r>
        <w:rPr>
          <w:color w:val="231F20"/>
          <w:spacing w:val="-2"/>
        </w:rPr>
        <w:t>meeting.</w:t>
      </w:r>
    </w:p>
    <w:p>
      <w:pPr>
        <w:pStyle w:val="BodyText"/>
        <w:spacing w:before="2"/>
        <w:rPr>
          <w:sz w:val="22"/>
        </w:rPr>
      </w:pPr>
    </w:p>
    <w:p>
      <w:pPr>
        <w:pStyle w:val="BodyText"/>
        <w:tabs>
          <w:tab w:pos="2135" w:val="left" w:leader="none"/>
        </w:tabs>
        <w:spacing w:before="90"/>
        <w:ind w:left="2155" w:right="324" w:hanging="600"/>
      </w:pPr>
      <w:r>
        <w:rPr>
          <w:color w:val="231F20"/>
          <w:u w:val="single" w:color="231F20"/>
        </w:rPr>
        <w:tab/>
      </w:r>
      <w:r>
        <w:rPr>
          <w:color w:val="231F20"/>
        </w:rPr>
        <w:t>The minutes are approved, amended or disapproved at the next meeting where a quorum of the public body is present.</w:t>
      </w:r>
    </w:p>
    <w:p>
      <w:pPr>
        <w:pStyle w:val="BodyText"/>
        <w:rPr>
          <w:sz w:val="28"/>
        </w:rPr>
      </w:pPr>
    </w:p>
    <w:p>
      <w:pPr>
        <w:pStyle w:val="BodyText"/>
        <w:tabs>
          <w:tab w:pos="2135" w:val="left" w:leader="none"/>
        </w:tabs>
        <w:ind w:left="1555"/>
      </w:pPr>
      <w:bookmarkStart w:name="All minutes are made available for publi" w:id="290"/>
      <w:bookmarkEnd w:id="290"/>
      <w:r>
        <w:rPr/>
      </w:r>
      <w:r>
        <w:rPr>
          <w:color w:val="231F20"/>
          <w:u w:val="single" w:color="231F20"/>
        </w:rPr>
        <w:tab/>
      </w:r>
      <w:r>
        <w:rPr>
          <w:color w:val="231F20"/>
        </w:rPr>
        <w:t>All</w:t>
      </w:r>
      <w:r>
        <w:rPr>
          <w:color w:val="231F20"/>
          <w:spacing w:val="-2"/>
        </w:rPr>
        <w:t> </w:t>
      </w:r>
      <w:r>
        <w:rPr>
          <w:color w:val="231F20"/>
        </w:rPr>
        <w:t>minutes</w:t>
      </w:r>
      <w:r>
        <w:rPr>
          <w:color w:val="231F20"/>
          <w:spacing w:val="-1"/>
        </w:rPr>
        <w:t> </w:t>
      </w:r>
      <w:r>
        <w:rPr>
          <w:color w:val="231F20"/>
        </w:rPr>
        <w:t>are</w:t>
      </w:r>
      <w:r>
        <w:rPr>
          <w:color w:val="231F20"/>
          <w:spacing w:val="-3"/>
        </w:rPr>
        <w:t> </w:t>
      </w:r>
      <w:r>
        <w:rPr>
          <w:color w:val="231F20"/>
        </w:rPr>
        <w:t>made available</w:t>
      </w:r>
      <w:r>
        <w:rPr>
          <w:color w:val="231F20"/>
          <w:spacing w:val="-2"/>
        </w:rPr>
        <w:t> </w:t>
      </w:r>
      <w:r>
        <w:rPr>
          <w:color w:val="231F20"/>
        </w:rPr>
        <w:t>for</w:t>
      </w:r>
      <w:r>
        <w:rPr>
          <w:color w:val="231F20"/>
          <w:spacing w:val="-3"/>
        </w:rPr>
        <w:t> </w:t>
      </w:r>
      <w:r>
        <w:rPr>
          <w:color w:val="231F20"/>
        </w:rPr>
        <w:t>public</w:t>
      </w:r>
      <w:r>
        <w:rPr>
          <w:color w:val="231F20"/>
          <w:spacing w:val="-2"/>
        </w:rPr>
        <w:t> inspection.</w:t>
      </w:r>
    </w:p>
    <w:p>
      <w:pPr>
        <w:spacing w:after="0"/>
        <w:sectPr>
          <w:pgSz w:w="12240" w:h="15840"/>
          <w:pgMar w:header="660" w:footer="484" w:top="960" w:bottom="900" w:left="360" w:right="240"/>
        </w:sectPr>
      </w:pPr>
    </w:p>
    <w:p>
      <w:pPr>
        <w:pStyle w:val="BodyText"/>
        <w:ind w:left="659"/>
        <w:rPr>
          <w:sz w:val="20"/>
        </w:rPr>
      </w:pPr>
      <w:r>
        <w:rPr/>
        <w:pict>
          <v:group style="position:absolute;margin-left:0pt;margin-top:296.520111pt;width:612.15pt;height:370.05pt;mso-position-horizontal-relative:page;mso-position-vertical-relative:page;z-index:-16813568" id="docshapegroup21" coordorigin="0,5930" coordsize="12243,7401">
            <v:shape style="position:absolute;left:0;top:5930;width:12231;height:7401" type="#_x0000_t75" id="docshape22" stroked="false">
              <v:imagedata r:id="rId20" o:title=""/>
            </v:shape>
            <v:line style="position:absolute" from="12226,9564" to="12226,8872" stroked="true" strokeweight="1.682636pt" strokecolor="#000000">
              <v:stroke dashstyle="solid"/>
            </v:line>
            <w10:wrap type="none"/>
          </v:group>
        </w:pict>
      </w:r>
      <w:r>
        <w:rPr/>
        <w:pict>
          <v:rect style="position:absolute;margin-left:562.48114pt;margin-top:184.184113pt;width:49.518823pt;height:.720873pt;mso-position-horizontal-relative:page;mso-position-vertical-relative:page;z-index:15738368" id="docshape23" filled="true" fillcolor="#000000" stroked="false">
            <v:fill type="solid"/>
            <w10:wrap type="none"/>
          </v:rect>
        </w:pict>
      </w:r>
      <w:r>
        <w:rPr>
          <w:sz w:val="20"/>
        </w:rPr>
        <w:drawing>
          <wp:inline distT="0" distB="0" distL="0" distR="0">
            <wp:extent cx="2975906" cy="451103"/>
            <wp:effectExtent l="0" t="0" r="0" b="0"/>
            <wp:docPr id="11" name="image9.jpeg"/>
            <wp:cNvGraphicFramePr>
              <a:graphicFrameLocks noChangeAspect="1"/>
            </wp:cNvGraphicFramePr>
            <a:graphic>
              <a:graphicData uri="http://schemas.openxmlformats.org/drawingml/2006/picture">
                <pic:pic>
                  <pic:nvPicPr>
                    <pic:cNvPr id="12" name="image9.jpeg"/>
                    <pic:cNvPicPr/>
                  </pic:nvPicPr>
                  <pic:blipFill>
                    <a:blip r:embed="rId21" cstate="print"/>
                    <a:stretch>
                      <a:fillRect/>
                    </a:stretch>
                  </pic:blipFill>
                  <pic:spPr>
                    <a:xfrm>
                      <a:off x="0" y="0"/>
                      <a:ext cx="2975906" cy="451103"/>
                    </a:xfrm>
                    <a:prstGeom prst="rect">
                      <a:avLst/>
                    </a:prstGeom>
                  </pic:spPr>
                </pic:pic>
              </a:graphicData>
            </a:graphic>
          </wp:inline>
        </w:drawing>
      </w:r>
      <w:r>
        <w:rPr>
          <w:sz w:val="20"/>
        </w:rPr>
      </w:r>
    </w:p>
    <w:p>
      <w:pPr>
        <w:pStyle w:val="BodyText"/>
        <w:spacing w:before="8"/>
        <w:rPr>
          <w:sz w:val="19"/>
        </w:rPr>
      </w:pPr>
    </w:p>
    <w:p>
      <w:pPr>
        <w:spacing w:before="92"/>
        <w:ind w:left="615" w:right="0" w:firstLine="0"/>
        <w:jc w:val="left"/>
        <w:rPr>
          <w:rFonts w:ascii="Arial" w:hAnsi="Arial"/>
          <w:b/>
          <w:sz w:val="27"/>
        </w:rPr>
      </w:pPr>
      <w:bookmarkStart w:name="OMA COVER B" w:id="291"/>
      <w:bookmarkEnd w:id="291"/>
      <w:r>
        <w:rPr/>
      </w:r>
      <w:r>
        <w:rPr>
          <w:rFonts w:ascii="Arial" w:hAnsi="Arial"/>
          <w:b/>
          <w:color w:val="7987A5"/>
          <w:spacing w:val="-2"/>
          <w:w w:val="325"/>
          <w:sz w:val="27"/>
        </w:rPr>
        <w:t>[;&gt;c©,</w:t>
      </w:r>
    </w:p>
    <w:p>
      <w:pPr>
        <w:spacing w:before="161"/>
        <w:ind w:left="1959" w:right="0" w:firstLine="0"/>
        <w:jc w:val="left"/>
        <w:rPr>
          <w:rFonts w:ascii="Arial"/>
          <w:b/>
          <w:sz w:val="27"/>
        </w:rPr>
      </w:pPr>
      <w:r>
        <w:rPr>
          <w:rFonts w:ascii="Arial"/>
          <w:b/>
          <w:color w:val="7987A5"/>
          <w:spacing w:val="-5"/>
          <w:w w:val="600"/>
          <w:sz w:val="27"/>
        </w:rPr>
        <w:t>@rl</w:t>
      </w:r>
    </w:p>
    <w:p>
      <w:pPr>
        <w:pStyle w:val="BodyText"/>
        <w:rPr>
          <w:rFonts w:ascii="Arial"/>
          <w:b/>
          <w:sz w:val="30"/>
        </w:rPr>
      </w:pPr>
    </w:p>
    <w:p>
      <w:pPr>
        <w:pStyle w:val="BodyText"/>
        <w:rPr>
          <w:rFonts w:ascii="Arial"/>
          <w:b/>
          <w:sz w:val="30"/>
        </w:rPr>
      </w:pPr>
    </w:p>
    <w:p>
      <w:pPr>
        <w:spacing w:before="243"/>
        <w:ind w:left="688" w:right="0" w:firstLine="0"/>
        <w:jc w:val="left"/>
        <w:rPr>
          <w:rFonts w:ascii="Arial" w:hAnsi="Arial"/>
          <w:sz w:val="33"/>
        </w:rPr>
      </w:pPr>
      <w:r>
        <w:rPr/>
        <w:pict>
          <v:line style="position:absolute;mso-position-horizontal-relative:page;mso-position-vertical-relative:paragraph;z-index:15738880" from="285.567352pt,28.474144pt" to="434.600824pt,28.474144pt" stroked="true" strokeweight=".720873pt" strokecolor="#000000">
            <v:stroke dashstyle="solid"/>
            <w10:wrap type="none"/>
          </v:line>
        </w:pict>
      </w:r>
      <w:r>
        <w:rPr>
          <w:rFonts w:ascii="Arial" w:hAnsi="Arial"/>
          <w:color w:val="4F6028"/>
          <w:w w:val="70"/>
          <w:sz w:val="25"/>
        </w:rPr>
        <w:t>@[i[)irJID</w:t>
      </w:r>
      <w:r>
        <w:rPr>
          <w:rFonts w:ascii="Arial" w:hAnsi="Arial"/>
          <w:color w:val="4F6028"/>
          <w:spacing w:val="17"/>
          <w:sz w:val="25"/>
        </w:rPr>
        <w:t> </w:t>
      </w:r>
      <w:r>
        <w:rPr>
          <w:color w:val="4F6028"/>
          <w:w w:val="70"/>
          <w:sz w:val="36"/>
        </w:rPr>
        <w:t>IF@</w:t>
      </w:r>
      <w:r>
        <w:rPr>
          <w:color w:val="4F6028"/>
          <w:spacing w:val="-1"/>
          <w:sz w:val="36"/>
        </w:rPr>
        <w:t> </w:t>
      </w:r>
      <w:r>
        <w:rPr>
          <w:rFonts w:ascii="Arial" w:hAnsi="Arial"/>
          <w:color w:val="4F6028"/>
          <w:spacing w:val="-2"/>
          <w:w w:val="70"/>
          <w:sz w:val="33"/>
        </w:rPr>
        <w:t>©mrll©®</w:t>
      </w:r>
    </w:p>
    <w:p>
      <w:pPr>
        <w:spacing w:before="76"/>
        <w:ind w:left="698" w:right="0" w:firstLine="0"/>
        <w:jc w:val="left"/>
        <w:rPr>
          <w:rFonts w:ascii="Arial" w:hAnsi="Arial"/>
          <w:b/>
          <w:sz w:val="25"/>
        </w:rPr>
      </w:pPr>
      <w:r>
        <w:rPr>
          <w:color w:val="4F6028"/>
          <w:w w:val="85"/>
          <w:sz w:val="35"/>
        </w:rPr>
        <w:t>@®</w:t>
      </w:r>
      <w:r>
        <w:rPr>
          <w:color w:val="4F6028"/>
          <w:spacing w:val="-9"/>
          <w:w w:val="85"/>
          <w:sz w:val="35"/>
        </w:rPr>
        <w:t> </w:t>
      </w:r>
      <w:r>
        <w:rPr>
          <w:rFonts w:ascii="Arial" w:hAnsi="Arial"/>
          <w:b/>
          <w:color w:val="4F6028"/>
          <w:w w:val="85"/>
          <w:sz w:val="25"/>
        </w:rPr>
        <w:t>@@</w:t>
      </w:r>
      <w:r>
        <w:rPr>
          <w:rFonts w:ascii="Arial" w:hAnsi="Arial"/>
          <w:b/>
          <w:color w:val="4F6028"/>
          <w:spacing w:val="8"/>
          <w:sz w:val="25"/>
        </w:rPr>
        <w:t> </w:t>
      </w:r>
      <w:r>
        <w:rPr>
          <w:rFonts w:ascii="Arial" w:hAnsi="Arial"/>
          <w:b/>
          <w:color w:val="4F6028"/>
          <w:w w:val="85"/>
          <w:sz w:val="25"/>
        </w:rPr>
        <w:t>@U@@</w:t>
      </w:r>
      <w:r>
        <w:rPr>
          <w:rFonts w:ascii="Arial" w:hAnsi="Arial"/>
          <w:b/>
          <w:color w:val="4F6028"/>
          <w:spacing w:val="59"/>
          <w:sz w:val="25"/>
        </w:rPr>
        <w:t> </w:t>
      </w:r>
      <w:r>
        <w:rPr>
          <w:rFonts w:ascii="Arial" w:hAnsi="Arial"/>
          <w:b/>
          <w:color w:val="4F6028"/>
          <w:spacing w:val="-2"/>
          <w:w w:val="85"/>
          <w:sz w:val="25"/>
        </w:rPr>
        <w:t>Ulf@@U</w:t>
      </w:r>
    </w:p>
    <w:p>
      <w:pPr>
        <w:tabs>
          <w:tab w:pos="2724" w:val="left" w:leader="none"/>
        </w:tabs>
        <w:spacing w:line="252" w:lineRule="auto" w:before="132"/>
        <w:ind w:left="688" w:right="8080" w:hanging="64"/>
        <w:jc w:val="left"/>
        <w:rPr>
          <w:sz w:val="35"/>
        </w:rPr>
      </w:pPr>
      <w:r>
        <w:rPr>
          <w:rFonts w:ascii="Arial" w:hAnsi="Arial"/>
          <w:color w:val="4F6028"/>
          <w:w w:val="90"/>
          <w:sz w:val="25"/>
        </w:rPr>
        <w:t>w</w:t>
      </w:r>
      <w:r>
        <w:rPr>
          <w:rFonts w:ascii="Arial" w:hAnsi="Arial"/>
          <w:color w:val="4F6028"/>
          <w:spacing w:val="80"/>
          <w:sz w:val="25"/>
        </w:rPr>
        <w:t> </w:t>
      </w:r>
      <w:r>
        <w:rPr>
          <w:rFonts w:ascii="Arial" w:hAnsi="Arial"/>
          <w:color w:val="4F6028"/>
          <w:w w:val="90"/>
          <w:sz w:val="25"/>
        </w:rPr>
        <w:t>®@IJ'®</w:t>
      </w:r>
      <w:r>
        <w:rPr>
          <w:rFonts w:ascii="Arial" w:hAnsi="Arial"/>
          <w:color w:val="4F6028"/>
          <w:spacing w:val="80"/>
          <w:sz w:val="25"/>
        </w:rPr>
        <w:t> </w:t>
      </w:r>
      <w:r>
        <w:rPr>
          <w:rFonts w:ascii="Arial" w:hAnsi="Arial"/>
          <w:color w:val="4F6028"/>
          <w:w w:val="90"/>
          <w:sz w:val="25"/>
        </w:rPr>
        <w:t>llil</w:t>
      </w:r>
      <w:r>
        <w:rPr>
          <w:rFonts w:ascii="Arial" w:hAnsi="Arial"/>
          <w:color w:val="4F6028"/>
          <w:spacing w:val="40"/>
          <w:sz w:val="25"/>
        </w:rPr>
        <w:t> </w:t>
      </w:r>
      <w:r>
        <w:rPr>
          <w:rFonts w:ascii="Arial" w:hAnsi="Arial"/>
          <w:color w:val="4F6028"/>
          <w:w w:val="90"/>
          <w:sz w:val="25"/>
        </w:rPr>
        <w:t>@J [i[)@ @[j[)irJID</w:t>
      </w:r>
      <w:r>
        <w:rPr>
          <w:rFonts w:ascii="Arial" w:hAnsi="Arial"/>
          <w:color w:val="4F6028"/>
          <w:sz w:val="25"/>
        </w:rPr>
        <w:t> </w:t>
      </w:r>
      <w:r>
        <w:rPr>
          <w:color w:val="4F6028"/>
          <w:w w:val="80"/>
          <w:sz w:val="36"/>
        </w:rPr>
        <w:t>IF@!)</w:t>
      </w:r>
      <w:r>
        <w:rPr>
          <w:color w:val="4F6028"/>
          <w:sz w:val="36"/>
        </w:rPr>
        <w:tab/>
      </w:r>
      <w:r>
        <w:rPr>
          <w:color w:val="4F6028"/>
          <w:spacing w:val="-2"/>
          <w:w w:val="50"/>
          <w:sz w:val="35"/>
        </w:rPr>
        <w:t>®u7@@4</w:t>
      </w:r>
      <w:r>
        <w:rPr>
          <w:color w:val="4F6028"/>
          <w:spacing w:val="-2"/>
          <w:w w:val="50"/>
          <w:sz w:val="35"/>
        </w:rPr>
        <w:t>J</w:t>
      </w:r>
    </w:p>
    <w:p>
      <w:pPr>
        <w:spacing w:line="394" w:lineRule="exact" w:before="2"/>
        <w:ind w:left="2080" w:right="0" w:firstLine="0"/>
        <w:jc w:val="left"/>
        <w:rPr>
          <w:sz w:val="35"/>
        </w:rPr>
      </w:pPr>
      <w:r>
        <w:rPr/>
        <w:drawing>
          <wp:anchor distT="0" distB="0" distL="0" distR="0" allowOverlap="1" layoutInCell="1" locked="0" behindDoc="1" simplePos="0" relativeHeight="486502400">
            <wp:simplePos x="0" y="0"/>
            <wp:positionH relativeFrom="page">
              <wp:posOffset>170955</wp:posOffset>
            </wp:positionH>
            <wp:positionV relativeFrom="paragraph">
              <wp:posOffset>59228</wp:posOffset>
            </wp:positionV>
            <wp:extent cx="1379857" cy="292962"/>
            <wp:effectExtent l="0" t="0" r="0" b="0"/>
            <wp:wrapNone/>
            <wp:docPr id="13" name="image10.jpeg"/>
            <wp:cNvGraphicFramePr>
              <a:graphicFrameLocks noChangeAspect="1"/>
            </wp:cNvGraphicFramePr>
            <a:graphic>
              <a:graphicData uri="http://schemas.openxmlformats.org/drawingml/2006/picture">
                <pic:pic>
                  <pic:nvPicPr>
                    <pic:cNvPr id="14" name="image10.jpeg"/>
                    <pic:cNvPicPr/>
                  </pic:nvPicPr>
                  <pic:blipFill>
                    <a:blip r:embed="rId22" cstate="print"/>
                    <a:stretch>
                      <a:fillRect/>
                    </a:stretch>
                  </pic:blipFill>
                  <pic:spPr>
                    <a:xfrm>
                      <a:off x="0" y="0"/>
                      <a:ext cx="1379857" cy="292962"/>
                    </a:xfrm>
                    <a:prstGeom prst="rect">
                      <a:avLst/>
                    </a:prstGeom>
                  </pic:spPr>
                </pic:pic>
              </a:graphicData>
            </a:graphic>
          </wp:anchor>
        </w:drawing>
      </w:r>
      <w:r>
        <w:rPr>
          <w:color w:val="4F6028"/>
          <w:w w:val="70"/>
          <w:sz w:val="35"/>
        </w:rPr>
        <w:t>@®»</w:t>
      </w:r>
      <w:r>
        <w:rPr>
          <w:color w:val="4F6028"/>
          <w:spacing w:val="58"/>
          <w:sz w:val="35"/>
        </w:rPr>
        <w:t> </w:t>
      </w:r>
      <w:r>
        <w:rPr>
          <w:color w:val="4F6028"/>
          <w:w w:val="70"/>
          <w:sz w:val="35"/>
        </w:rPr>
        <w:t>®@</w:t>
      </w:r>
      <w:r>
        <w:rPr>
          <w:color w:val="4F6028"/>
          <w:spacing w:val="-22"/>
          <w:sz w:val="35"/>
        </w:rPr>
        <w:t> </w:t>
      </w:r>
      <w:r>
        <w:rPr>
          <w:color w:val="4F6028"/>
          <w:spacing w:val="-5"/>
          <w:w w:val="70"/>
          <w:sz w:val="35"/>
        </w:rPr>
        <w:t>@®@</w:t>
      </w:r>
    </w:p>
    <w:p>
      <w:pPr>
        <w:tabs>
          <w:tab w:pos="1872" w:val="left" w:leader="none"/>
        </w:tabs>
        <w:spacing w:line="475" w:lineRule="exact" w:before="0"/>
        <w:ind w:left="101" w:right="0" w:firstLine="0"/>
        <w:jc w:val="left"/>
        <w:rPr>
          <w:sz w:val="35"/>
        </w:rPr>
      </w:pPr>
      <w:r>
        <w:rPr>
          <w:color w:val="505944"/>
          <w:w w:val="160"/>
          <w:sz w:val="42"/>
        </w:rPr>
        <w:t>ij</w:t>
      </w:r>
      <w:r>
        <w:rPr>
          <w:color w:val="4F6028"/>
          <w:w w:val="160"/>
          <w:sz w:val="42"/>
        </w:rPr>
        <w:t>f</w:t>
      </w:r>
      <w:r>
        <w:rPr>
          <w:color w:val="4F6028"/>
          <w:spacing w:val="45"/>
          <w:w w:val="160"/>
          <w:sz w:val="42"/>
        </w:rPr>
        <w:t> </w:t>
      </w:r>
      <w:r>
        <w:rPr>
          <w:color w:val="4F6028"/>
          <w:spacing w:val="-5"/>
          <w:w w:val="160"/>
          <w:sz w:val="42"/>
        </w:rPr>
        <w:t>=:</w:t>
      </w:r>
      <w:r>
        <w:rPr>
          <w:color w:val="4F6028"/>
          <w:sz w:val="42"/>
        </w:rPr>
        <w:tab/>
      </w:r>
      <w:r>
        <w:rPr>
          <w:color w:val="4F6028"/>
          <w:w w:val="120"/>
          <w:sz w:val="42"/>
        </w:rPr>
        <w:t>»</w:t>
      </w:r>
      <w:r>
        <w:rPr>
          <w:color w:val="4F6028"/>
          <w:spacing w:val="-54"/>
          <w:w w:val="120"/>
          <w:sz w:val="42"/>
        </w:rPr>
        <w:t> </w:t>
      </w:r>
      <w:r>
        <w:rPr>
          <w:color w:val="4F6028"/>
          <w:w w:val="120"/>
          <w:sz w:val="35"/>
        </w:rPr>
        <w:t>®@</w:t>
      </w:r>
      <w:r>
        <w:rPr>
          <w:color w:val="4F6028"/>
          <w:spacing w:val="-13"/>
          <w:w w:val="120"/>
          <w:sz w:val="35"/>
        </w:rPr>
        <w:t> </w:t>
      </w:r>
      <w:r>
        <w:rPr>
          <w:color w:val="4F6028"/>
          <w:spacing w:val="-5"/>
          <w:w w:val="120"/>
          <w:sz w:val="35"/>
        </w:rPr>
        <w:t>®®</w:t>
      </w:r>
    </w:p>
    <w:sectPr>
      <w:headerReference w:type="default" r:id="rId18"/>
      <w:footerReference w:type="default" r:id="rId19"/>
      <w:pgSz w:w="12240" w:h="15840"/>
      <w:pgMar w:header="0" w:footer="0" w:top="620" w:bottom="280" w:left="36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Franklin Gothic Demi">
    <w:altName w:val="Franklin Gothic Dem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45.162109pt;width:16.1500pt;height:14.25pt;mso-position-horizontal-relative:page;mso-position-vertical-relative:page;z-index:-16821248" type="#_x0000_t202" id="docshape1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iii</w:t>
                </w:r>
                <w:r>
                  <w:rPr>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9.359985pt;margin-top:745.162109pt;width:18.05pt;height:23.85pt;mso-position-horizontal-relative:page;mso-position-vertical-relative:page;z-index:-16819200" type="#_x0000_t202" id="docshape14" filled="false" stroked="false">
          <v:textbox inset="0,0,0,0">
            <w:txbxContent>
              <w:p>
                <w:pPr>
                  <w:spacing w:before="203"/>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822784" from="48.299999pt,47.5pt" to="563.699999pt,47.5pt" stroked="true" strokeweight="1pt" strokecolor="#231f20">
          <v:stroke dashstyle="solid"/>
          <w10:wrap type="none"/>
        </v:line>
      </w:pict>
    </w:r>
    <w:r>
      <w:rPr/>
      <w:pict>
        <v:shape style="position:absolute;margin-left:51.32pt;margin-top:31.986641pt;width:144.75pt;height:15.3pt;mso-position-horizontal-relative:page;mso-position-vertical-relative:page;z-index:-16822272" type="#_x0000_t202" id="docshape9" filled="false" stroked="false">
          <v:textbox inset="0,0,0,0">
            <w:txbxContent>
              <w:p>
                <w:pPr>
                  <w:pStyle w:val="BodyText"/>
                  <w:spacing w:before="10"/>
                  <w:ind w:left="20"/>
                </w:pPr>
                <w:r>
                  <w:rPr>
                    <w:color w:val="231F20"/>
                    <w:spacing w:val="-4"/>
                  </w:rPr>
                  <w:t>Office</w:t>
                </w:r>
                <w:r>
                  <w:rPr>
                    <w:color w:val="231F20"/>
                    <w:spacing w:val="-11"/>
                  </w:rPr>
                  <w:t> </w:t>
                </w:r>
                <w:r>
                  <w:rPr>
                    <w:color w:val="231F20"/>
                    <w:spacing w:val="-4"/>
                  </w:rPr>
                  <w:t>of</w:t>
                </w:r>
                <w:r>
                  <w:rPr>
                    <w:color w:val="231F20"/>
                    <w:spacing w:val="-16"/>
                  </w:rPr>
                  <w:t> </w:t>
                </w:r>
                <w:r>
                  <w:rPr>
                    <w:color w:val="231F20"/>
                    <w:spacing w:val="-4"/>
                  </w:rPr>
                  <w:t>the</w:t>
                </w:r>
                <w:r>
                  <w:rPr>
                    <w:color w:val="231F20"/>
                    <w:spacing w:val="-11"/>
                  </w:rPr>
                  <w:t> </w:t>
                </w:r>
                <w:r>
                  <w:rPr>
                    <w:color w:val="231F20"/>
                    <w:spacing w:val="-4"/>
                  </w:rPr>
                  <w:t>Attorney</w:t>
                </w:r>
                <w:r>
                  <w:rPr>
                    <w:color w:val="231F20"/>
                    <w:spacing w:val="-5"/>
                  </w:rPr>
                  <w:t> </w:t>
                </w:r>
                <w:r>
                  <w:rPr>
                    <w:color w:val="231F20"/>
                    <w:spacing w:val="-4"/>
                  </w:rPr>
                  <w:t>General</w:t>
                </w:r>
              </w:p>
            </w:txbxContent>
          </v:textbox>
          <w10:wrap type="none"/>
        </v:shape>
      </w:pict>
    </w:r>
    <w:r>
      <w:rPr/>
      <w:pict>
        <v:shape style="position:absolute;margin-left:461.720001pt;margin-top:31.986641pt;width:100.6pt;height:15.3pt;mso-position-horizontal-relative:page;mso-position-vertical-relative:page;z-index:-16821760" type="#_x0000_t202" id="docshape10" filled="false" stroked="false">
          <v:textbox inset="0,0,0,0">
            <w:txbxContent>
              <w:p>
                <w:pPr>
                  <w:pStyle w:val="BodyText"/>
                  <w:spacing w:before="10"/>
                  <w:ind w:left="20"/>
                </w:pPr>
                <w:r>
                  <w:rPr>
                    <w:color w:val="231F20"/>
                    <w:spacing w:val="-6"/>
                  </w:rPr>
                  <w:t>State</w:t>
                </w:r>
                <w:r>
                  <w:rPr>
                    <w:color w:val="231F20"/>
                    <w:spacing w:val="1"/>
                  </w:rPr>
                  <w:t> </w:t>
                </w:r>
                <w:r>
                  <w:rPr>
                    <w:color w:val="231F20"/>
                    <w:spacing w:val="-6"/>
                  </w:rPr>
                  <w:t>of</w:t>
                </w:r>
                <w:r>
                  <w:rPr>
                    <w:color w:val="231F20"/>
                    <w:spacing w:val="-13"/>
                  </w:rPr>
                  <w:t> </w:t>
                </w:r>
                <w:r>
                  <w:rPr>
                    <w:color w:val="231F20"/>
                    <w:spacing w:val="-6"/>
                  </w:rPr>
                  <w:t>New</w:t>
                </w:r>
                <w:r>
                  <w:rPr>
                    <w:color w:val="231F20"/>
                    <w:spacing w:val="-11"/>
                  </w:rPr>
                  <w:t> </w:t>
                </w:r>
                <w:r>
                  <w:rPr>
                    <w:color w:val="231F20"/>
                    <w:spacing w:val="-6"/>
                  </w:rPr>
                  <w:t>Mexico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820736" from="48.299999pt,47.5pt" to="563.699999pt,47.5pt" stroked="true" strokeweight="1pt" strokecolor="#231f20">
          <v:stroke dashstyle="solid"/>
          <w10:wrap type="none"/>
        </v:line>
      </w:pict>
    </w:r>
    <w:r>
      <w:rPr/>
      <w:pict>
        <v:shape style="position:absolute;margin-left:51.32pt;margin-top:31.986641pt;width:144.75pt;height:15.3pt;mso-position-horizontal-relative:page;mso-position-vertical-relative:page;z-index:-16820224" type="#_x0000_t202" id="docshape12" filled="false" stroked="false">
          <v:textbox inset="0,0,0,0">
            <w:txbxContent>
              <w:p>
                <w:pPr>
                  <w:pStyle w:val="BodyText"/>
                  <w:spacing w:before="10"/>
                  <w:ind w:left="20"/>
                </w:pPr>
                <w:r>
                  <w:rPr>
                    <w:color w:val="231F20"/>
                    <w:spacing w:val="-4"/>
                  </w:rPr>
                  <w:t>Office</w:t>
                </w:r>
                <w:r>
                  <w:rPr>
                    <w:color w:val="231F20"/>
                    <w:spacing w:val="-11"/>
                  </w:rPr>
                  <w:t> </w:t>
                </w:r>
                <w:r>
                  <w:rPr>
                    <w:color w:val="231F20"/>
                    <w:spacing w:val="-4"/>
                  </w:rPr>
                  <w:t>of</w:t>
                </w:r>
                <w:r>
                  <w:rPr>
                    <w:color w:val="231F20"/>
                    <w:spacing w:val="-16"/>
                  </w:rPr>
                  <w:t> </w:t>
                </w:r>
                <w:r>
                  <w:rPr>
                    <w:color w:val="231F20"/>
                    <w:spacing w:val="-4"/>
                  </w:rPr>
                  <w:t>the</w:t>
                </w:r>
                <w:r>
                  <w:rPr>
                    <w:color w:val="231F20"/>
                    <w:spacing w:val="-11"/>
                  </w:rPr>
                  <w:t> </w:t>
                </w:r>
                <w:r>
                  <w:rPr>
                    <w:color w:val="231F20"/>
                    <w:spacing w:val="-4"/>
                  </w:rPr>
                  <w:t>Attorney</w:t>
                </w:r>
                <w:r>
                  <w:rPr>
                    <w:color w:val="231F20"/>
                    <w:spacing w:val="-5"/>
                  </w:rPr>
                  <w:t> </w:t>
                </w:r>
                <w:r>
                  <w:rPr>
                    <w:color w:val="231F20"/>
                    <w:spacing w:val="-4"/>
                  </w:rPr>
                  <w:t>General</w:t>
                </w:r>
              </w:p>
            </w:txbxContent>
          </v:textbox>
          <w10:wrap type="none"/>
        </v:shape>
      </w:pict>
    </w:r>
    <w:r>
      <w:rPr/>
      <w:pict>
        <v:shape style="position:absolute;margin-left:461.720001pt;margin-top:31.986641pt;width:100.6pt;height:15.3pt;mso-position-horizontal-relative:page;mso-position-vertical-relative:page;z-index:-16819712" type="#_x0000_t202" id="docshape13" filled="false" stroked="false">
          <v:textbox inset="0,0,0,0">
            <w:txbxContent>
              <w:p>
                <w:pPr>
                  <w:pStyle w:val="BodyText"/>
                  <w:spacing w:before="10"/>
                  <w:ind w:left="20"/>
                </w:pPr>
                <w:r>
                  <w:rPr>
                    <w:color w:val="231F20"/>
                    <w:spacing w:val="-6"/>
                  </w:rPr>
                  <w:t>State</w:t>
                </w:r>
                <w:r>
                  <w:rPr>
                    <w:color w:val="231F20"/>
                    <w:spacing w:val="1"/>
                  </w:rPr>
                  <w:t> </w:t>
                </w:r>
                <w:r>
                  <w:rPr>
                    <w:color w:val="231F20"/>
                    <w:spacing w:val="-6"/>
                  </w:rPr>
                  <w:t>of</w:t>
                </w:r>
                <w:r>
                  <w:rPr>
                    <w:color w:val="231F20"/>
                    <w:spacing w:val="-13"/>
                  </w:rPr>
                  <w:t> </w:t>
                </w:r>
                <w:r>
                  <w:rPr>
                    <w:color w:val="231F20"/>
                    <w:spacing w:val="-6"/>
                  </w:rPr>
                  <w:t>New</w:t>
                </w:r>
                <w:r>
                  <w:rPr>
                    <w:color w:val="231F20"/>
                    <w:spacing w:val="-11"/>
                  </w:rPr>
                  <w:t> </w:t>
                </w:r>
                <w:r>
                  <w:rPr>
                    <w:color w:val="231F20"/>
                    <w:spacing w:val="-6"/>
                  </w:rPr>
                  <w:t>Mexico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717" w:hanging="243"/>
        <w:jc w:val="left"/>
      </w:pPr>
      <w:rPr>
        <w:rFonts w:hint="default" w:ascii="Times New Roman" w:hAnsi="Times New Roman" w:eastAsia="Times New Roman" w:cs="Times New Roman"/>
        <w:b w:val="0"/>
        <w:bCs w:val="0"/>
        <w:i w:val="0"/>
        <w:iCs w:val="0"/>
        <w:color w:val="231F20"/>
        <w:w w:val="100"/>
        <w:sz w:val="24"/>
        <w:szCs w:val="24"/>
        <w:lang w:val="en-US" w:eastAsia="en-US" w:bidi="ar-SA"/>
      </w:rPr>
    </w:lvl>
    <w:lvl w:ilvl="1">
      <w:start w:val="1"/>
      <w:numFmt w:val="decimal"/>
      <w:lvlText w:val="(%2)"/>
      <w:lvlJc w:val="left"/>
      <w:pPr>
        <w:ind w:left="1195" w:hanging="360"/>
        <w:jc w:val="left"/>
      </w:pPr>
      <w:rPr>
        <w:rFonts w:hint="default" w:ascii="Times New Roman" w:hAnsi="Times New Roman" w:eastAsia="Times New Roman" w:cs="Times New Roman"/>
        <w:b w:val="0"/>
        <w:bCs w:val="0"/>
        <w:i w:val="0"/>
        <w:iCs w:val="0"/>
        <w:color w:val="231F20"/>
        <w:spacing w:val="-1"/>
        <w:w w:val="99"/>
        <w:sz w:val="24"/>
        <w:szCs w:val="24"/>
        <w:lang w:val="en-US" w:eastAsia="en-US" w:bidi="ar-SA"/>
      </w:rPr>
    </w:lvl>
    <w:lvl w:ilvl="2">
      <w:start w:val="1"/>
      <w:numFmt w:val="lowerLetter"/>
      <w:lvlText w:val="(%3)"/>
      <w:lvlJc w:val="left"/>
      <w:pPr>
        <w:ind w:left="1159" w:hanging="324"/>
        <w:jc w:val="left"/>
      </w:pPr>
      <w:rPr>
        <w:rFonts w:hint="default" w:ascii="Times New Roman" w:hAnsi="Times New Roman" w:eastAsia="Times New Roman" w:cs="Times New Roman"/>
        <w:b w:val="0"/>
        <w:bCs w:val="0"/>
        <w:i w:val="0"/>
        <w:iCs w:val="0"/>
        <w:color w:val="231F20"/>
        <w:spacing w:val="-1"/>
        <w:w w:val="99"/>
        <w:sz w:val="24"/>
        <w:szCs w:val="24"/>
        <w:lang w:val="en-US" w:eastAsia="en-US" w:bidi="ar-SA"/>
      </w:rPr>
    </w:lvl>
    <w:lvl w:ilvl="3">
      <w:start w:val="0"/>
      <w:numFmt w:val="bullet"/>
      <w:lvlText w:val="•"/>
      <w:lvlJc w:val="left"/>
      <w:pPr>
        <w:ind w:left="964" w:hanging="324"/>
      </w:pPr>
      <w:rPr>
        <w:rFonts w:hint="default"/>
        <w:lang w:val="en-US" w:eastAsia="en-US" w:bidi="ar-SA"/>
      </w:rPr>
    </w:lvl>
    <w:lvl w:ilvl="4">
      <w:start w:val="0"/>
      <w:numFmt w:val="bullet"/>
      <w:lvlText w:val="•"/>
      <w:lvlJc w:val="left"/>
      <w:pPr>
        <w:ind w:left="728" w:hanging="324"/>
      </w:pPr>
      <w:rPr>
        <w:rFonts w:hint="default"/>
        <w:lang w:val="en-US" w:eastAsia="en-US" w:bidi="ar-SA"/>
      </w:rPr>
    </w:lvl>
    <w:lvl w:ilvl="5">
      <w:start w:val="0"/>
      <w:numFmt w:val="bullet"/>
      <w:lvlText w:val="•"/>
      <w:lvlJc w:val="left"/>
      <w:pPr>
        <w:ind w:left="493" w:hanging="324"/>
      </w:pPr>
      <w:rPr>
        <w:rFonts w:hint="default"/>
        <w:lang w:val="en-US" w:eastAsia="en-US" w:bidi="ar-SA"/>
      </w:rPr>
    </w:lvl>
    <w:lvl w:ilvl="6">
      <w:start w:val="0"/>
      <w:numFmt w:val="bullet"/>
      <w:lvlText w:val="•"/>
      <w:lvlJc w:val="left"/>
      <w:pPr>
        <w:ind w:left="257" w:hanging="324"/>
      </w:pPr>
      <w:rPr>
        <w:rFonts w:hint="default"/>
        <w:lang w:val="en-US" w:eastAsia="en-US" w:bidi="ar-SA"/>
      </w:rPr>
    </w:lvl>
    <w:lvl w:ilvl="7">
      <w:start w:val="0"/>
      <w:numFmt w:val="bullet"/>
      <w:lvlText w:val="•"/>
      <w:lvlJc w:val="left"/>
      <w:pPr>
        <w:ind w:left="22" w:hanging="324"/>
      </w:pPr>
      <w:rPr>
        <w:rFonts w:hint="default"/>
        <w:lang w:val="en-US" w:eastAsia="en-US" w:bidi="ar-SA"/>
      </w:rPr>
    </w:lvl>
    <w:lvl w:ilvl="8">
      <w:start w:val="0"/>
      <w:numFmt w:val="bullet"/>
      <w:lvlText w:val="•"/>
      <w:lvlJc w:val="left"/>
      <w:pPr>
        <w:ind w:left="-214" w:hanging="324"/>
      </w:pPr>
      <w:rPr>
        <w:rFonts w:hint="default"/>
        <w:lang w:val="en-US" w:eastAsia="en-US" w:bidi="ar-SA"/>
      </w:rPr>
    </w:lvl>
  </w:abstractNum>
  <w:abstractNum w:abstractNumId="14">
    <w:multiLevelType w:val="hybridMultilevel"/>
    <w:lvl w:ilvl="0">
      <w:start w:val="1"/>
      <w:numFmt w:val="upperLetter"/>
      <w:lvlText w:val="%1."/>
      <w:lvlJc w:val="left"/>
      <w:pPr>
        <w:ind w:left="806" w:hanging="341"/>
        <w:jc w:val="left"/>
      </w:pPr>
      <w:rPr>
        <w:rFonts w:hint="default" w:ascii="Times New Roman" w:hAnsi="Times New Roman" w:eastAsia="Times New Roman" w:cs="Times New Roman"/>
        <w:b/>
        <w:bCs/>
        <w:i w:val="0"/>
        <w:iCs w:val="0"/>
        <w:color w:val="231F20"/>
        <w:spacing w:val="-2"/>
        <w:w w:val="100"/>
        <w:sz w:val="28"/>
        <w:szCs w:val="28"/>
        <w:lang w:val="en-US" w:eastAsia="en-US" w:bidi="ar-SA"/>
      </w:rPr>
    </w:lvl>
    <w:lvl w:ilvl="1">
      <w:start w:val="1"/>
      <w:numFmt w:val="decimal"/>
      <w:lvlText w:val="(%2)"/>
      <w:lvlJc w:val="left"/>
      <w:pPr>
        <w:ind w:left="475" w:hanging="375"/>
        <w:jc w:val="left"/>
      </w:pPr>
      <w:rPr>
        <w:rFonts w:hint="default" w:ascii="Times New Roman" w:hAnsi="Times New Roman" w:eastAsia="Times New Roman" w:cs="Times New Roman"/>
        <w:b w:val="0"/>
        <w:bCs w:val="0"/>
        <w:i w:val="0"/>
        <w:iCs w:val="0"/>
        <w:color w:val="231F20"/>
        <w:spacing w:val="-1"/>
        <w:w w:val="99"/>
        <w:sz w:val="24"/>
        <w:szCs w:val="24"/>
        <w:lang w:val="en-US" w:eastAsia="en-US" w:bidi="ar-SA"/>
      </w:rPr>
    </w:lvl>
    <w:lvl w:ilvl="2">
      <w:start w:val="0"/>
      <w:numFmt w:val="bullet"/>
      <w:lvlText w:val="•"/>
      <w:lvlJc w:val="left"/>
      <w:pPr>
        <w:ind w:left="662" w:hanging="375"/>
      </w:pPr>
      <w:rPr>
        <w:rFonts w:hint="default"/>
        <w:lang w:val="en-US" w:eastAsia="en-US" w:bidi="ar-SA"/>
      </w:rPr>
    </w:lvl>
    <w:lvl w:ilvl="3">
      <w:start w:val="0"/>
      <w:numFmt w:val="bullet"/>
      <w:lvlText w:val="•"/>
      <w:lvlJc w:val="left"/>
      <w:pPr>
        <w:ind w:left="525" w:hanging="375"/>
      </w:pPr>
      <w:rPr>
        <w:rFonts w:hint="default"/>
        <w:lang w:val="en-US" w:eastAsia="en-US" w:bidi="ar-SA"/>
      </w:rPr>
    </w:lvl>
    <w:lvl w:ilvl="4">
      <w:start w:val="0"/>
      <w:numFmt w:val="bullet"/>
      <w:lvlText w:val="•"/>
      <w:lvlJc w:val="left"/>
      <w:pPr>
        <w:ind w:left="387" w:hanging="375"/>
      </w:pPr>
      <w:rPr>
        <w:rFonts w:hint="default"/>
        <w:lang w:val="en-US" w:eastAsia="en-US" w:bidi="ar-SA"/>
      </w:rPr>
    </w:lvl>
    <w:lvl w:ilvl="5">
      <w:start w:val="0"/>
      <w:numFmt w:val="bullet"/>
      <w:lvlText w:val="•"/>
      <w:lvlJc w:val="left"/>
      <w:pPr>
        <w:ind w:left="250" w:hanging="375"/>
      </w:pPr>
      <w:rPr>
        <w:rFonts w:hint="default"/>
        <w:lang w:val="en-US" w:eastAsia="en-US" w:bidi="ar-SA"/>
      </w:rPr>
    </w:lvl>
    <w:lvl w:ilvl="6">
      <w:start w:val="0"/>
      <w:numFmt w:val="bullet"/>
      <w:lvlText w:val="•"/>
      <w:lvlJc w:val="left"/>
      <w:pPr>
        <w:ind w:left="112" w:hanging="375"/>
      </w:pPr>
      <w:rPr>
        <w:rFonts w:hint="default"/>
        <w:lang w:val="en-US" w:eastAsia="en-US" w:bidi="ar-SA"/>
      </w:rPr>
    </w:lvl>
    <w:lvl w:ilvl="7">
      <w:start w:val="0"/>
      <w:numFmt w:val="bullet"/>
      <w:lvlText w:val="•"/>
      <w:lvlJc w:val="left"/>
      <w:pPr>
        <w:ind w:left="-25" w:hanging="375"/>
      </w:pPr>
      <w:rPr>
        <w:rFonts w:hint="default"/>
        <w:lang w:val="en-US" w:eastAsia="en-US" w:bidi="ar-SA"/>
      </w:rPr>
    </w:lvl>
    <w:lvl w:ilvl="8">
      <w:start w:val="0"/>
      <w:numFmt w:val="bullet"/>
      <w:lvlText w:val="•"/>
      <w:lvlJc w:val="left"/>
      <w:pPr>
        <w:ind w:left="-162" w:hanging="375"/>
      </w:pPr>
      <w:rPr>
        <w:rFonts w:hint="default"/>
        <w:lang w:val="en-US" w:eastAsia="en-US" w:bidi="ar-SA"/>
      </w:rPr>
    </w:lvl>
  </w:abstractNum>
  <w:abstractNum w:abstractNumId="13">
    <w:multiLevelType w:val="hybridMultilevel"/>
    <w:lvl w:ilvl="0">
      <w:start w:val="1"/>
      <w:numFmt w:val="upperLetter"/>
      <w:lvlText w:val="%1."/>
      <w:lvlJc w:val="left"/>
      <w:pPr>
        <w:ind w:left="835" w:hanging="360"/>
        <w:jc w:val="left"/>
      </w:pPr>
      <w:rPr>
        <w:rFonts w:hint="default" w:ascii="Times New Roman" w:hAnsi="Times New Roman" w:eastAsia="Times New Roman" w:cs="Times New Roman"/>
        <w:b/>
        <w:bCs/>
        <w:i w:val="0"/>
        <w:iCs w:val="0"/>
        <w:color w:val="231F20"/>
        <w:spacing w:val="-2"/>
        <w:w w:val="100"/>
        <w:sz w:val="28"/>
        <w:szCs w:val="28"/>
        <w:lang w:val="en-US" w:eastAsia="en-US" w:bidi="ar-SA"/>
      </w:rPr>
    </w:lvl>
    <w:lvl w:ilvl="1">
      <w:start w:val="0"/>
      <w:numFmt w:val="bullet"/>
      <w:lvlText w:val="•"/>
      <w:lvlJc w:val="left"/>
      <w:pPr>
        <w:ind w:left="1300" w:hanging="360"/>
      </w:pPr>
      <w:rPr>
        <w:rFonts w:hint="default"/>
        <w:lang w:val="en-US" w:eastAsia="en-US" w:bidi="ar-SA"/>
      </w:rPr>
    </w:lvl>
    <w:lvl w:ilvl="2">
      <w:start w:val="0"/>
      <w:numFmt w:val="bullet"/>
      <w:lvlText w:val="•"/>
      <w:lvlJc w:val="left"/>
      <w:pPr>
        <w:ind w:left="1761" w:hanging="360"/>
      </w:pPr>
      <w:rPr>
        <w:rFonts w:hint="default"/>
        <w:lang w:val="en-US" w:eastAsia="en-US" w:bidi="ar-SA"/>
      </w:rPr>
    </w:lvl>
    <w:lvl w:ilvl="3">
      <w:start w:val="0"/>
      <w:numFmt w:val="bullet"/>
      <w:lvlText w:val="•"/>
      <w:lvlJc w:val="left"/>
      <w:pPr>
        <w:ind w:left="2221" w:hanging="360"/>
      </w:pPr>
      <w:rPr>
        <w:rFonts w:hint="default"/>
        <w:lang w:val="en-US" w:eastAsia="en-US" w:bidi="ar-SA"/>
      </w:rPr>
    </w:lvl>
    <w:lvl w:ilvl="4">
      <w:start w:val="0"/>
      <w:numFmt w:val="bullet"/>
      <w:lvlText w:val="•"/>
      <w:lvlJc w:val="left"/>
      <w:pPr>
        <w:ind w:left="2682" w:hanging="360"/>
      </w:pPr>
      <w:rPr>
        <w:rFonts w:hint="default"/>
        <w:lang w:val="en-US" w:eastAsia="en-US" w:bidi="ar-SA"/>
      </w:rPr>
    </w:lvl>
    <w:lvl w:ilvl="5">
      <w:start w:val="0"/>
      <w:numFmt w:val="bullet"/>
      <w:lvlText w:val="•"/>
      <w:lvlJc w:val="left"/>
      <w:pPr>
        <w:ind w:left="3142" w:hanging="360"/>
      </w:pPr>
      <w:rPr>
        <w:rFonts w:hint="default"/>
        <w:lang w:val="en-US" w:eastAsia="en-US" w:bidi="ar-SA"/>
      </w:rPr>
    </w:lvl>
    <w:lvl w:ilvl="6">
      <w:start w:val="0"/>
      <w:numFmt w:val="bullet"/>
      <w:lvlText w:val="•"/>
      <w:lvlJc w:val="left"/>
      <w:pPr>
        <w:ind w:left="3603" w:hanging="360"/>
      </w:pPr>
      <w:rPr>
        <w:rFonts w:hint="default"/>
        <w:lang w:val="en-US" w:eastAsia="en-US" w:bidi="ar-SA"/>
      </w:rPr>
    </w:lvl>
    <w:lvl w:ilvl="7">
      <w:start w:val="0"/>
      <w:numFmt w:val="bullet"/>
      <w:lvlText w:val="•"/>
      <w:lvlJc w:val="left"/>
      <w:pPr>
        <w:ind w:left="4063" w:hanging="360"/>
      </w:pPr>
      <w:rPr>
        <w:rFonts w:hint="default"/>
        <w:lang w:val="en-US" w:eastAsia="en-US" w:bidi="ar-SA"/>
      </w:rPr>
    </w:lvl>
    <w:lvl w:ilvl="8">
      <w:start w:val="0"/>
      <w:numFmt w:val="bullet"/>
      <w:lvlText w:val="•"/>
      <w:lvlJc w:val="left"/>
      <w:pPr>
        <w:ind w:left="4524" w:hanging="360"/>
      </w:pPr>
      <w:rPr>
        <w:rFonts w:hint="default"/>
        <w:lang w:val="en-US" w:eastAsia="en-US" w:bidi="ar-SA"/>
      </w:rPr>
    </w:lvl>
  </w:abstractNum>
  <w:abstractNum w:abstractNumId="12">
    <w:multiLevelType w:val="hybridMultilevel"/>
    <w:lvl w:ilvl="0">
      <w:start w:val="1"/>
      <w:numFmt w:val="upperRoman"/>
      <w:lvlText w:val="%1."/>
      <w:lvlJc w:val="left"/>
      <w:pPr>
        <w:ind w:left="835" w:hanging="360"/>
        <w:jc w:val="left"/>
      </w:pPr>
      <w:rPr>
        <w:rFonts w:hint="default" w:ascii="Times New Roman" w:hAnsi="Times New Roman" w:eastAsia="Times New Roman" w:cs="Times New Roman"/>
        <w:b/>
        <w:bCs/>
        <w:i w:val="0"/>
        <w:iCs w:val="0"/>
        <w:color w:val="231F20"/>
        <w:spacing w:val="0"/>
        <w:w w:val="100"/>
        <w:sz w:val="28"/>
        <w:szCs w:val="28"/>
        <w:lang w:val="en-US" w:eastAsia="en-US" w:bidi="ar-SA"/>
      </w:rPr>
    </w:lvl>
    <w:lvl w:ilvl="1">
      <w:start w:val="1"/>
      <w:numFmt w:val="decimal"/>
      <w:lvlText w:val="%2."/>
      <w:lvlJc w:val="left"/>
      <w:pPr>
        <w:ind w:left="715" w:hanging="240"/>
        <w:jc w:val="left"/>
      </w:pPr>
      <w:rPr>
        <w:rFonts w:hint="default" w:ascii="Times New Roman" w:hAnsi="Times New Roman" w:eastAsia="Times New Roman" w:cs="Times New Roman"/>
        <w:b w:val="0"/>
        <w:bCs w:val="0"/>
        <w:i w:val="0"/>
        <w:iCs w:val="0"/>
        <w:color w:val="231F20"/>
        <w:w w:val="100"/>
        <w:sz w:val="24"/>
        <w:szCs w:val="24"/>
        <w:lang w:val="en-US" w:eastAsia="en-US" w:bidi="ar-SA"/>
      </w:rPr>
    </w:lvl>
    <w:lvl w:ilvl="2">
      <w:start w:val="0"/>
      <w:numFmt w:val="bullet"/>
      <w:lvlText w:val="•"/>
      <w:lvlJc w:val="left"/>
      <w:pPr>
        <w:ind w:left="1324" w:hanging="240"/>
      </w:pPr>
      <w:rPr>
        <w:rFonts w:hint="default"/>
        <w:lang w:val="en-US" w:eastAsia="en-US" w:bidi="ar-SA"/>
      </w:rPr>
    </w:lvl>
    <w:lvl w:ilvl="3">
      <w:start w:val="0"/>
      <w:numFmt w:val="bullet"/>
      <w:lvlText w:val="•"/>
      <w:lvlJc w:val="left"/>
      <w:pPr>
        <w:ind w:left="1808" w:hanging="240"/>
      </w:pPr>
      <w:rPr>
        <w:rFonts w:hint="default"/>
        <w:lang w:val="en-US" w:eastAsia="en-US" w:bidi="ar-SA"/>
      </w:rPr>
    </w:lvl>
    <w:lvl w:ilvl="4">
      <w:start w:val="0"/>
      <w:numFmt w:val="bullet"/>
      <w:lvlText w:val="•"/>
      <w:lvlJc w:val="left"/>
      <w:pPr>
        <w:ind w:left="2293" w:hanging="240"/>
      </w:pPr>
      <w:rPr>
        <w:rFonts w:hint="default"/>
        <w:lang w:val="en-US" w:eastAsia="en-US" w:bidi="ar-SA"/>
      </w:rPr>
    </w:lvl>
    <w:lvl w:ilvl="5">
      <w:start w:val="0"/>
      <w:numFmt w:val="bullet"/>
      <w:lvlText w:val="•"/>
      <w:lvlJc w:val="left"/>
      <w:pPr>
        <w:ind w:left="2777" w:hanging="240"/>
      </w:pPr>
      <w:rPr>
        <w:rFonts w:hint="default"/>
        <w:lang w:val="en-US" w:eastAsia="en-US" w:bidi="ar-SA"/>
      </w:rPr>
    </w:lvl>
    <w:lvl w:ilvl="6">
      <w:start w:val="0"/>
      <w:numFmt w:val="bullet"/>
      <w:lvlText w:val="•"/>
      <w:lvlJc w:val="left"/>
      <w:pPr>
        <w:ind w:left="3262" w:hanging="240"/>
      </w:pPr>
      <w:rPr>
        <w:rFonts w:hint="default"/>
        <w:lang w:val="en-US" w:eastAsia="en-US" w:bidi="ar-SA"/>
      </w:rPr>
    </w:lvl>
    <w:lvl w:ilvl="7">
      <w:start w:val="0"/>
      <w:numFmt w:val="bullet"/>
      <w:lvlText w:val="•"/>
      <w:lvlJc w:val="left"/>
      <w:pPr>
        <w:ind w:left="3746" w:hanging="240"/>
      </w:pPr>
      <w:rPr>
        <w:rFonts w:hint="default"/>
        <w:lang w:val="en-US" w:eastAsia="en-US" w:bidi="ar-SA"/>
      </w:rPr>
    </w:lvl>
    <w:lvl w:ilvl="8">
      <w:start w:val="0"/>
      <w:numFmt w:val="bullet"/>
      <w:lvlText w:val="•"/>
      <w:lvlJc w:val="left"/>
      <w:pPr>
        <w:ind w:left="4230" w:hanging="240"/>
      </w:pPr>
      <w:rPr>
        <w:rFonts w:hint="default"/>
        <w:lang w:val="en-US" w:eastAsia="en-US" w:bidi="ar-SA"/>
      </w:rPr>
    </w:lvl>
  </w:abstractNum>
  <w:abstractNum w:abstractNumId="11">
    <w:multiLevelType w:val="hybridMultilevel"/>
    <w:lvl w:ilvl="0">
      <w:start w:val="1"/>
      <w:numFmt w:val="lowerLetter"/>
      <w:lvlText w:val="(%1)"/>
      <w:lvlJc w:val="left"/>
      <w:pPr>
        <w:ind w:left="475" w:hanging="341"/>
        <w:jc w:val="left"/>
      </w:pPr>
      <w:rPr>
        <w:rFonts w:hint="default" w:ascii="Times New Roman" w:hAnsi="Times New Roman" w:eastAsia="Times New Roman" w:cs="Times New Roman"/>
        <w:b w:val="0"/>
        <w:bCs w:val="0"/>
        <w:i/>
        <w:iCs/>
        <w:color w:val="231F20"/>
        <w:spacing w:val="-4"/>
        <w:w w:val="99"/>
        <w:sz w:val="24"/>
        <w:szCs w:val="24"/>
        <w:lang w:val="en-US" w:eastAsia="en-US" w:bidi="ar-SA"/>
      </w:rPr>
    </w:lvl>
    <w:lvl w:ilvl="1">
      <w:start w:val="0"/>
      <w:numFmt w:val="bullet"/>
      <w:lvlText w:val="•"/>
      <w:lvlJc w:val="left"/>
      <w:pPr>
        <w:ind w:left="951" w:hanging="341"/>
      </w:pPr>
      <w:rPr>
        <w:rFonts w:hint="default"/>
        <w:lang w:val="en-US" w:eastAsia="en-US" w:bidi="ar-SA"/>
      </w:rPr>
    </w:lvl>
    <w:lvl w:ilvl="2">
      <w:start w:val="0"/>
      <w:numFmt w:val="bullet"/>
      <w:lvlText w:val="•"/>
      <w:lvlJc w:val="left"/>
      <w:pPr>
        <w:ind w:left="1423" w:hanging="341"/>
      </w:pPr>
      <w:rPr>
        <w:rFonts w:hint="default"/>
        <w:lang w:val="en-US" w:eastAsia="en-US" w:bidi="ar-SA"/>
      </w:rPr>
    </w:lvl>
    <w:lvl w:ilvl="3">
      <w:start w:val="0"/>
      <w:numFmt w:val="bullet"/>
      <w:lvlText w:val="•"/>
      <w:lvlJc w:val="left"/>
      <w:pPr>
        <w:ind w:left="1895" w:hanging="341"/>
      </w:pPr>
      <w:rPr>
        <w:rFonts w:hint="default"/>
        <w:lang w:val="en-US" w:eastAsia="en-US" w:bidi="ar-SA"/>
      </w:rPr>
    </w:lvl>
    <w:lvl w:ilvl="4">
      <w:start w:val="0"/>
      <w:numFmt w:val="bullet"/>
      <w:lvlText w:val="•"/>
      <w:lvlJc w:val="left"/>
      <w:pPr>
        <w:ind w:left="2367" w:hanging="341"/>
      </w:pPr>
      <w:rPr>
        <w:rFonts w:hint="default"/>
        <w:lang w:val="en-US" w:eastAsia="en-US" w:bidi="ar-SA"/>
      </w:rPr>
    </w:lvl>
    <w:lvl w:ilvl="5">
      <w:start w:val="0"/>
      <w:numFmt w:val="bullet"/>
      <w:lvlText w:val="•"/>
      <w:lvlJc w:val="left"/>
      <w:pPr>
        <w:ind w:left="2839" w:hanging="341"/>
      </w:pPr>
      <w:rPr>
        <w:rFonts w:hint="default"/>
        <w:lang w:val="en-US" w:eastAsia="en-US" w:bidi="ar-SA"/>
      </w:rPr>
    </w:lvl>
    <w:lvl w:ilvl="6">
      <w:start w:val="0"/>
      <w:numFmt w:val="bullet"/>
      <w:lvlText w:val="•"/>
      <w:lvlJc w:val="left"/>
      <w:pPr>
        <w:ind w:left="3310" w:hanging="341"/>
      </w:pPr>
      <w:rPr>
        <w:rFonts w:hint="default"/>
        <w:lang w:val="en-US" w:eastAsia="en-US" w:bidi="ar-SA"/>
      </w:rPr>
    </w:lvl>
    <w:lvl w:ilvl="7">
      <w:start w:val="0"/>
      <w:numFmt w:val="bullet"/>
      <w:lvlText w:val="•"/>
      <w:lvlJc w:val="left"/>
      <w:pPr>
        <w:ind w:left="3782" w:hanging="341"/>
      </w:pPr>
      <w:rPr>
        <w:rFonts w:hint="default"/>
        <w:lang w:val="en-US" w:eastAsia="en-US" w:bidi="ar-SA"/>
      </w:rPr>
    </w:lvl>
    <w:lvl w:ilvl="8">
      <w:start w:val="0"/>
      <w:numFmt w:val="bullet"/>
      <w:lvlText w:val="•"/>
      <w:lvlJc w:val="left"/>
      <w:pPr>
        <w:ind w:left="4254" w:hanging="341"/>
      </w:pPr>
      <w:rPr>
        <w:rFonts w:hint="default"/>
        <w:lang w:val="en-US" w:eastAsia="en-US" w:bidi="ar-SA"/>
      </w:rPr>
    </w:lvl>
  </w:abstractNum>
  <w:abstractNum w:abstractNumId="9">
    <w:multiLevelType w:val="hybridMultilevel"/>
    <w:lvl w:ilvl="0">
      <w:start w:val="1"/>
      <w:numFmt w:val="decimal"/>
      <w:lvlText w:val="%1."/>
      <w:lvlJc w:val="left"/>
      <w:pPr>
        <w:ind w:left="715" w:hanging="240"/>
        <w:jc w:val="left"/>
      </w:pPr>
      <w:rPr>
        <w:rFonts w:hint="default" w:ascii="Times New Roman" w:hAnsi="Times New Roman" w:eastAsia="Times New Roman" w:cs="Times New Roman"/>
        <w:b w:val="0"/>
        <w:bCs w:val="0"/>
        <w:i w:val="0"/>
        <w:iCs w:val="0"/>
        <w:color w:val="231F20"/>
        <w:w w:val="100"/>
        <w:sz w:val="24"/>
        <w:szCs w:val="24"/>
        <w:lang w:val="en-US" w:eastAsia="en-US" w:bidi="ar-SA"/>
      </w:rPr>
    </w:lvl>
    <w:lvl w:ilvl="1">
      <w:start w:val="1"/>
      <w:numFmt w:val="decimal"/>
      <w:lvlText w:val="%2."/>
      <w:lvlJc w:val="left"/>
      <w:pPr>
        <w:ind w:left="835" w:hanging="240"/>
        <w:jc w:val="left"/>
      </w:pPr>
      <w:rPr>
        <w:rFonts w:hint="default" w:ascii="Times New Roman" w:hAnsi="Times New Roman" w:eastAsia="Times New Roman" w:cs="Times New Roman"/>
        <w:b w:val="0"/>
        <w:bCs w:val="0"/>
        <w:i/>
        <w:iCs/>
        <w:color w:val="231F20"/>
        <w:w w:val="100"/>
        <w:sz w:val="24"/>
        <w:szCs w:val="24"/>
        <w:lang w:val="en-US" w:eastAsia="en-US" w:bidi="ar-SA"/>
      </w:rPr>
    </w:lvl>
    <w:lvl w:ilvl="2">
      <w:start w:val="1"/>
      <w:numFmt w:val="lowerLetter"/>
      <w:lvlText w:val="%3."/>
      <w:lvlJc w:val="left"/>
      <w:pPr>
        <w:ind w:left="1435" w:hanging="240"/>
        <w:jc w:val="left"/>
      </w:pPr>
      <w:rPr>
        <w:rFonts w:hint="default" w:ascii="Times New Roman" w:hAnsi="Times New Roman" w:eastAsia="Times New Roman" w:cs="Times New Roman"/>
        <w:b w:val="0"/>
        <w:bCs w:val="0"/>
        <w:i/>
        <w:iCs/>
        <w:color w:val="231F20"/>
        <w:w w:val="100"/>
        <w:sz w:val="24"/>
        <w:szCs w:val="24"/>
        <w:lang w:val="en-US" w:eastAsia="en-US" w:bidi="ar-SA"/>
      </w:rPr>
    </w:lvl>
    <w:lvl w:ilvl="3">
      <w:start w:val="0"/>
      <w:numFmt w:val="bullet"/>
      <w:lvlText w:val="•"/>
      <w:lvlJc w:val="left"/>
      <w:pPr>
        <w:ind w:left="1979" w:hanging="240"/>
      </w:pPr>
      <w:rPr>
        <w:rFonts w:hint="default"/>
        <w:lang w:val="en-US" w:eastAsia="en-US" w:bidi="ar-SA"/>
      </w:rPr>
    </w:lvl>
    <w:lvl w:ilvl="4">
      <w:start w:val="0"/>
      <w:numFmt w:val="bullet"/>
      <w:lvlText w:val="•"/>
      <w:lvlJc w:val="left"/>
      <w:pPr>
        <w:ind w:left="2519" w:hanging="240"/>
      </w:pPr>
      <w:rPr>
        <w:rFonts w:hint="default"/>
        <w:lang w:val="en-US" w:eastAsia="en-US" w:bidi="ar-SA"/>
      </w:rPr>
    </w:lvl>
    <w:lvl w:ilvl="5">
      <w:start w:val="0"/>
      <w:numFmt w:val="bullet"/>
      <w:lvlText w:val="•"/>
      <w:lvlJc w:val="left"/>
      <w:pPr>
        <w:ind w:left="3059" w:hanging="240"/>
      </w:pPr>
      <w:rPr>
        <w:rFonts w:hint="default"/>
        <w:lang w:val="en-US" w:eastAsia="en-US" w:bidi="ar-SA"/>
      </w:rPr>
    </w:lvl>
    <w:lvl w:ilvl="6">
      <w:start w:val="0"/>
      <w:numFmt w:val="bullet"/>
      <w:lvlText w:val="•"/>
      <w:lvlJc w:val="left"/>
      <w:pPr>
        <w:ind w:left="3598" w:hanging="240"/>
      </w:pPr>
      <w:rPr>
        <w:rFonts w:hint="default"/>
        <w:lang w:val="en-US" w:eastAsia="en-US" w:bidi="ar-SA"/>
      </w:rPr>
    </w:lvl>
    <w:lvl w:ilvl="7">
      <w:start w:val="0"/>
      <w:numFmt w:val="bullet"/>
      <w:lvlText w:val="•"/>
      <w:lvlJc w:val="left"/>
      <w:pPr>
        <w:ind w:left="4138" w:hanging="240"/>
      </w:pPr>
      <w:rPr>
        <w:rFonts w:hint="default"/>
        <w:lang w:val="en-US" w:eastAsia="en-US" w:bidi="ar-SA"/>
      </w:rPr>
    </w:lvl>
    <w:lvl w:ilvl="8">
      <w:start w:val="0"/>
      <w:numFmt w:val="bullet"/>
      <w:lvlText w:val="•"/>
      <w:lvlJc w:val="left"/>
      <w:pPr>
        <w:ind w:left="4678" w:hanging="240"/>
      </w:pPr>
      <w:rPr>
        <w:rFonts w:hint="default"/>
        <w:lang w:val="en-US" w:eastAsia="en-US" w:bidi="ar-SA"/>
      </w:rPr>
    </w:lvl>
  </w:abstractNum>
  <w:abstractNum w:abstractNumId="8">
    <w:multiLevelType w:val="hybridMultilevel"/>
    <w:lvl w:ilvl="0">
      <w:start w:val="6"/>
      <w:numFmt w:val="decimal"/>
      <w:lvlText w:val="%1."/>
      <w:lvlJc w:val="left"/>
      <w:pPr>
        <w:ind w:left="475" w:hanging="360"/>
        <w:jc w:val="left"/>
      </w:pPr>
      <w:rPr>
        <w:rFonts w:hint="default" w:ascii="Times New Roman" w:hAnsi="Times New Roman" w:eastAsia="Times New Roman" w:cs="Times New Roman"/>
        <w:b w:val="0"/>
        <w:bCs w:val="0"/>
        <w:i/>
        <w:iCs/>
        <w:color w:val="231F20"/>
        <w:w w:val="100"/>
        <w:sz w:val="24"/>
        <w:szCs w:val="24"/>
        <w:lang w:val="en-US" w:eastAsia="en-US" w:bidi="ar-SA"/>
      </w:rPr>
    </w:lvl>
    <w:lvl w:ilvl="1">
      <w:start w:val="1"/>
      <w:numFmt w:val="lowerLetter"/>
      <w:lvlText w:val="(%2)"/>
      <w:lvlJc w:val="left"/>
      <w:pPr>
        <w:ind w:left="475" w:hanging="406"/>
        <w:jc w:val="left"/>
      </w:pPr>
      <w:rPr>
        <w:rFonts w:hint="default" w:ascii="Times New Roman" w:hAnsi="Times New Roman" w:eastAsia="Times New Roman" w:cs="Times New Roman"/>
        <w:b w:val="0"/>
        <w:bCs w:val="0"/>
        <w:i/>
        <w:iCs/>
        <w:color w:val="231F20"/>
        <w:spacing w:val="-4"/>
        <w:w w:val="99"/>
        <w:sz w:val="24"/>
        <w:szCs w:val="24"/>
        <w:lang w:val="en-US" w:eastAsia="en-US" w:bidi="ar-SA"/>
      </w:rPr>
    </w:lvl>
    <w:lvl w:ilvl="2">
      <w:start w:val="0"/>
      <w:numFmt w:val="bullet"/>
      <w:lvlText w:val="•"/>
      <w:lvlJc w:val="left"/>
      <w:pPr>
        <w:ind w:left="247" w:hanging="406"/>
      </w:pPr>
      <w:rPr>
        <w:rFonts w:hint="default"/>
        <w:lang w:val="en-US" w:eastAsia="en-US" w:bidi="ar-SA"/>
      </w:rPr>
    </w:lvl>
    <w:lvl w:ilvl="3">
      <w:start w:val="0"/>
      <w:numFmt w:val="bullet"/>
      <w:lvlText w:val="•"/>
      <w:lvlJc w:val="left"/>
      <w:pPr>
        <w:ind w:left="130" w:hanging="406"/>
      </w:pPr>
      <w:rPr>
        <w:rFonts w:hint="default"/>
        <w:lang w:val="en-US" w:eastAsia="en-US" w:bidi="ar-SA"/>
      </w:rPr>
    </w:lvl>
    <w:lvl w:ilvl="4">
      <w:start w:val="0"/>
      <w:numFmt w:val="bullet"/>
      <w:lvlText w:val="•"/>
      <w:lvlJc w:val="left"/>
      <w:pPr>
        <w:ind w:left="14" w:hanging="406"/>
      </w:pPr>
      <w:rPr>
        <w:rFonts w:hint="default"/>
        <w:lang w:val="en-US" w:eastAsia="en-US" w:bidi="ar-SA"/>
      </w:rPr>
    </w:lvl>
    <w:lvl w:ilvl="5">
      <w:start w:val="0"/>
      <w:numFmt w:val="bullet"/>
      <w:lvlText w:val="•"/>
      <w:lvlJc w:val="left"/>
      <w:pPr>
        <w:ind w:left="-103" w:hanging="406"/>
      </w:pPr>
      <w:rPr>
        <w:rFonts w:hint="default"/>
        <w:lang w:val="en-US" w:eastAsia="en-US" w:bidi="ar-SA"/>
      </w:rPr>
    </w:lvl>
    <w:lvl w:ilvl="6">
      <w:start w:val="0"/>
      <w:numFmt w:val="bullet"/>
      <w:lvlText w:val="•"/>
      <w:lvlJc w:val="left"/>
      <w:pPr>
        <w:ind w:left="-219" w:hanging="406"/>
      </w:pPr>
      <w:rPr>
        <w:rFonts w:hint="default"/>
        <w:lang w:val="en-US" w:eastAsia="en-US" w:bidi="ar-SA"/>
      </w:rPr>
    </w:lvl>
    <w:lvl w:ilvl="7">
      <w:start w:val="0"/>
      <w:numFmt w:val="bullet"/>
      <w:lvlText w:val="•"/>
      <w:lvlJc w:val="left"/>
      <w:pPr>
        <w:ind w:left="-336" w:hanging="406"/>
      </w:pPr>
      <w:rPr>
        <w:rFonts w:hint="default"/>
        <w:lang w:val="en-US" w:eastAsia="en-US" w:bidi="ar-SA"/>
      </w:rPr>
    </w:lvl>
    <w:lvl w:ilvl="8">
      <w:start w:val="0"/>
      <w:numFmt w:val="bullet"/>
      <w:lvlText w:val="•"/>
      <w:lvlJc w:val="left"/>
      <w:pPr>
        <w:ind w:left="-452" w:hanging="406"/>
      </w:pPr>
      <w:rPr>
        <w:rFonts w:hint="default"/>
        <w:lang w:val="en-US" w:eastAsia="en-US" w:bidi="ar-SA"/>
      </w:rPr>
    </w:lvl>
  </w:abstractNum>
  <w:abstractNum w:abstractNumId="7">
    <w:multiLevelType w:val="hybridMultilevel"/>
    <w:lvl w:ilvl="0">
      <w:start w:val="1"/>
      <w:numFmt w:val="decimal"/>
      <w:lvlText w:val="%1."/>
      <w:lvlJc w:val="left"/>
      <w:pPr>
        <w:ind w:left="744" w:hanging="269"/>
        <w:jc w:val="left"/>
      </w:pPr>
      <w:rPr>
        <w:rFonts w:hint="default"/>
        <w:w w:val="100"/>
        <w:lang w:val="en-US" w:eastAsia="en-US" w:bidi="ar-SA"/>
      </w:rPr>
    </w:lvl>
    <w:lvl w:ilvl="1">
      <w:start w:val="0"/>
      <w:numFmt w:val="bullet"/>
      <w:lvlText w:val="•"/>
      <w:lvlJc w:val="left"/>
      <w:pPr>
        <w:ind w:left="1172" w:hanging="269"/>
      </w:pPr>
      <w:rPr>
        <w:rFonts w:hint="default"/>
        <w:lang w:val="en-US" w:eastAsia="en-US" w:bidi="ar-SA"/>
      </w:rPr>
    </w:lvl>
    <w:lvl w:ilvl="2">
      <w:start w:val="0"/>
      <w:numFmt w:val="bullet"/>
      <w:lvlText w:val="•"/>
      <w:lvlJc w:val="left"/>
      <w:pPr>
        <w:ind w:left="1604" w:hanging="269"/>
      </w:pPr>
      <w:rPr>
        <w:rFonts w:hint="default"/>
        <w:lang w:val="en-US" w:eastAsia="en-US" w:bidi="ar-SA"/>
      </w:rPr>
    </w:lvl>
    <w:lvl w:ilvl="3">
      <w:start w:val="0"/>
      <w:numFmt w:val="bullet"/>
      <w:lvlText w:val="•"/>
      <w:lvlJc w:val="left"/>
      <w:pPr>
        <w:ind w:left="2036" w:hanging="269"/>
      </w:pPr>
      <w:rPr>
        <w:rFonts w:hint="default"/>
        <w:lang w:val="en-US" w:eastAsia="en-US" w:bidi="ar-SA"/>
      </w:rPr>
    </w:lvl>
    <w:lvl w:ilvl="4">
      <w:start w:val="0"/>
      <w:numFmt w:val="bullet"/>
      <w:lvlText w:val="•"/>
      <w:lvlJc w:val="left"/>
      <w:pPr>
        <w:ind w:left="2468" w:hanging="269"/>
      </w:pPr>
      <w:rPr>
        <w:rFonts w:hint="default"/>
        <w:lang w:val="en-US" w:eastAsia="en-US" w:bidi="ar-SA"/>
      </w:rPr>
    </w:lvl>
    <w:lvl w:ilvl="5">
      <w:start w:val="0"/>
      <w:numFmt w:val="bullet"/>
      <w:lvlText w:val="•"/>
      <w:lvlJc w:val="left"/>
      <w:pPr>
        <w:ind w:left="2900" w:hanging="269"/>
      </w:pPr>
      <w:rPr>
        <w:rFonts w:hint="default"/>
        <w:lang w:val="en-US" w:eastAsia="en-US" w:bidi="ar-SA"/>
      </w:rPr>
    </w:lvl>
    <w:lvl w:ilvl="6">
      <w:start w:val="0"/>
      <w:numFmt w:val="bullet"/>
      <w:lvlText w:val="•"/>
      <w:lvlJc w:val="left"/>
      <w:pPr>
        <w:ind w:left="3332" w:hanging="269"/>
      </w:pPr>
      <w:rPr>
        <w:rFonts w:hint="default"/>
        <w:lang w:val="en-US" w:eastAsia="en-US" w:bidi="ar-SA"/>
      </w:rPr>
    </w:lvl>
    <w:lvl w:ilvl="7">
      <w:start w:val="0"/>
      <w:numFmt w:val="bullet"/>
      <w:lvlText w:val="•"/>
      <w:lvlJc w:val="left"/>
      <w:pPr>
        <w:ind w:left="3765" w:hanging="269"/>
      </w:pPr>
      <w:rPr>
        <w:rFonts w:hint="default"/>
        <w:lang w:val="en-US" w:eastAsia="en-US" w:bidi="ar-SA"/>
      </w:rPr>
    </w:lvl>
    <w:lvl w:ilvl="8">
      <w:start w:val="0"/>
      <w:numFmt w:val="bullet"/>
      <w:lvlText w:val="•"/>
      <w:lvlJc w:val="left"/>
      <w:pPr>
        <w:ind w:left="4197" w:hanging="269"/>
      </w:pPr>
      <w:rPr>
        <w:rFonts w:hint="default"/>
        <w:lang w:val="en-US" w:eastAsia="en-US" w:bidi="ar-SA"/>
      </w:rPr>
    </w:lvl>
  </w:abstractNum>
  <w:abstractNum w:abstractNumId="6">
    <w:multiLevelType w:val="hybridMultilevel"/>
    <w:lvl w:ilvl="0">
      <w:start w:val="1"/>
      <w:numFmt w:val="decimal"/>
      <w:lvlText w:val="%1."/>
      <w:lvlJc w:val="left"/>
      <w:pPr>
        <w:ind w:left="1195" w:hanging="720"/>
        <w:jc w:val="left"/>
      </w:pPr>
      <w:rPr>
        <w:rFonts w:hint="default"/>
        <w:w w:val="100"/>
        <w:lang w:val="en-US" w:eastAsia="en-US" w:bidi="ar-SA"/>
      </w:rPr>
    </w:lvl>
    <w:lvl w:ilvl="1">
      <w:start w:val="1"/>
      <w:numFmt w:val="lowerLetter"/>
      <w:lvlText w:val="%2."/>
      <w:lvlJc w:val="left"/>
      <w:pPr>
        <w:ind w:left="1420" w:hanging="226"/>
        <w:jc w:val="left"/>
      </w:pPr>
      <w:rPr>
        <w:rFonts w:hint="default" w:ascii="Times New Roman" w:hAnsi="Times New Roman" w:eastAsia="Times New Roman" w:cs="Times New Roman"/>
        <w:b w:val="0"/>
        <w:bCs w:val="0"/>
        <w:i w:val="0"/>
        <w:iCs w:val="0"/>
        <w:color w:val="231F20"/>
        <w:spacing w:val="-1"/>
        <w:w w:val="100"/>
        <w:sz w:val="24"/>
        <w:szCs w:val="24"/>
        <w:lang w:val="en-US" w:eastAsia="en-US" w:bidi="ar-SA"/>
      </w:rPr>
    </w:lvl>
    <w:lvl w:ilvl="2">
      <w:start w:val="0"/>
      <w:numFmt w:val="bullet"/>
      <w:lvlText w:val="•"/>
      <w:lvlJc w:val="left"/>
      <w:pPr>
        <w:ind w:left="1901" w:hanging="226"/>
      </w:pPr>
      <w:rPr>
        <w:rFonts w:hint="default"/>
        <w:lang w:val="en-US" w:eastAsia="en-US" w:bidi="ar-SA"/>
      </w:rPr>
    </w:lvl>
    <w:lvl w:ilvl="3">
      <w:start w:val="0"/>
      <w:numFmt w:val="bullet"/>
      <w:lvlText w:val="•"/>
      <w:lvlJc w:val="left"/>
      <w:pPr>
        <w:ind w:left="2383" w:hanging="226"/>
      </w:pPr>
      <w:rPr>
        <w:rFonts w:hint="default"/>
        <w:lang w:val="en-US" w:eastAsia="en-US" w:bidi="ar-SA"/>
      </w:rPr>
    </w:lvl>
    <w:lvl w:ilvl="4">
      <w:start w:val="0"/>
      <w:numFmt w:val="bullet"/>
      <w:lvlText w:val="•"/>
      <w:lvlJc w:val="left"/>
      <w:pPr>
        <w:ind w:left="2865" w:hanging="226"/>
      </w:pPr>
      <w:rPr>
        <w:rFonts w:hint="default"/>
        <w:lang w:val="en-US" w:eastAsia="en-US" w:bidi="ar-SA"/>
      </w:rPr>
    </w:lvl>
    <w:lvl w:ilvl="5">
      <w:start w:val="0"/>
      <w:numFmt w:val="bullet"/>
      <w:lvlText w:val="•"/>
      <w:lvlJc w:val="left"/>
      <w:pPr>
        <w:ind w:left="3347" w:hanging="226"/>
      </w:pPr>
      <w:rPr>
        <w:rFonts w:hint="default"/>
        <w:lang w:val="en-US" w:eastAsia="en-US" w:bidi="ar-SA"/>
      </w:rPr>
    </w:lvl>
    <w:lvl w:ilvl="6">
      <w:start w:val="0"/>
      <w:numFmt w:val="bullet"/>
      <w:lvlText w:val="•"/>
      <w:lvlJc w:val="left"/>
      <w:pPr>
        <w:ind w:left="3829" w:hanging="226"/>
      </w:pPr>
      <w:rPr>
        <w:rFonts w:hint="default"/>
        <w:lang w:val="en-US" w:eastAsia="en-US" w:bidi="ar-SA"/>
      </w:rPr>
    </w:lvl>
    <w:lvl w:ilvl="7">
      <w:start w:val="0"/>
      <w:numFmt w:val="bullet"/>
      <w:lvlText w:val="•"/>
      <w:lvlJc w:val="left"/>
      <w:pPr>
        <w:ind w:left="4311" w:hanging="226"/>
      </w:pPr>
      <w:rPr>
        <w:rFonts w:hint="default"/>
        <w:lang w:val="en-US" w:eastAsia="en-US" w:bidi="ar-SA"/>
      </w:rPr>
    </w:lvl>
    <w:lvl w:ilvl="8">
      <w:start w:val="0"/>
      <w:numFmt w:val="bullet"/>
      <w:lvlText w:val="•"/>
      <w:lvlJc w:val="left"/>
      <w:pPr>
        <w:ind w:left="4793" w:hanging="226"/>
      </w:pPr>
      <w:rPr>
        <w:rFonts w:hint="default"/>
        <w:lang w:val="en-US" w:eastAsia="en-US" w:bidi="ar-SA"/>
      </w:rPr>
    </w:lvl>
  </w:abstractNum>
  <w:abstractNum w:abstractNumId="5">
    <w:multiLevelType w:val="hybridMultilevel"/>
    <w:lvl w:ilvl="0">
      <w:start w:val="1"/>
      <w:numFmt w:val="upperLetter"/>
      <w:lvlText w:val="%1."/>
      <w:lvlJc w:val="left"/>
      <w:pPr>
        <w:ind w:left="806" w:hanging="341"/>
        <w:jc w:val="left"/>
      </w:pPr>
      <w:rPr>
        <w:rFonts w:hint="default" w:ascii="Times New Roman" w:hAnsi="Times New Roman" w:eastAsia="Times New Roman" w:cs="Times New Roman"/>
        <w:b/>
        <w:bCs/>
        <w:i w:val="0"/>
        <w:iCs w:val="0"/>
        <w:color w:val="231F20"/>
        <w:spacing w:val="-2"/>
        <w:w w:val="100"/>
        <w:sz w:val="28"/>
        <w:szCs w:val="28"/>
        <w:lang w:val="en-US" w:eastAsia="en-US" w:bidi="ar-SA"/>
      </w:rPr>
    </w:lvl>
    <w:lvl w:ilvl="1">
      <w:start w:val="1"/>
      <w:numFmt w:val="lowerLetter"/>
      <w:lvlText w:val="(%2)"/>
      <w:lvlJc w:val="left"/>
      <w:pPr>
        <w:ind w:left="1159" w:hanging="324"/>
        <w:jc w:val="left"/>
      </w:pPr>
      <w:rPr>
        <w:rFonts w:hint="default"/>
        <w:spacing w:val="-1"/>
        <w:w w:val="99"/>
        <w:lang w:val="en-US" w:eastAsia="en-US" w:bidi="ar-SA"/>
      </w:rPr>
    </w:lvl>
    <w:lvl w:ilvl="2">
      <w:start w:val="0"/>
      <w:numFmt w:val="bullet"/>
      <w:lvlText w:val="•"/>
      <w:lvlJc w:val="left"/>
      <w:pPr>
        <w:ind w:left="1520" w:hanging="324"/>
      </w:pPr>
      <w:rPr>
        <w:rFonts w:hint="default"/>
        <w:lang w:val="en-US" w:eastAsia="en-US" w:bidi="ar-SA"/>
      </w:rPr>
    </w:lvl>
    <w:lvl w:ilvl="3">
      <w:start w:val="0"/>
      <w:numFmt w:val="bullet"/>
      <w:lvlText w:val="•"/>
      <w:lvlJc w:val="left"/>
      <w:pPr>
        <w:ind w:left="1244" w:hanging="324"/>
      </w:pPr>
      <w:rPr>
        <w:rFonts w:hint="default"/>
        <w:lang w:val="en-US" w:eastAsia="en-US" w:bidi="ar-SA"/>
      </w:rPr>
    </w:lvl>
    <w:lvl w:ilvl="4">
      <w:start w:val="0"/>
      <w:numFmt w:val="bullet"/>
      <w:lvlText w:val="•"/>
      <w:lvlJc w:val="left"/>
      <w:pPr>
        <w:ind w:left="969" w:hanging="324"/>
      </w:pPr>
      <w:rPr>
        <w:rFonts w:hint="default"/>
        <w:lang w:val="en-US" w:eastAsia="en-US" w:bidi="ar-SA"/>
      </w:rPr>
    </w:lvl>
    <w:lvl w:ilvl="5">
      <w:start w:val="0"/>
      <w:numFmt w:val="bullet"/>
      <w:lvlText w:val="•"/>
      <w:lvlJc w:val="left"/>
      <w:pPr>
        <w:ind w:left="694" w:hanging="324"/>
      </w:pPr>
      <w:rPr>
        <w:rFonts w:hint="default"/>
        <w:lang w:val="en-US" w:eastAsia="en-US" w:bidi="ar-SA"/>
      </w:rPr>
    </w:lvl>
    <w:lvl w:ilvl="6">
      <w:start w:val="0"/>
      <w:numFmt w:val="bullet"/>
      <w:lvlText w:val="•"/>
      <w:lvlJc w:val="left"/>
      <w:pPr>
        <w:ind w:left="419" w:hanging="324"/>
      </w:pPr>
      <w:rPr>
        <w:rFonts w:hint="default"/>
        <w:lang w:val="en-US" w:eastAsia="en-US" w:bidi="ar-SA"/>
      </w:rPr>
    </w:lvl>
    <w:lvl w:ilvl="7">
      <w:start w:val="0"/>
      <w:numFmt w:val="bullet"/>
      <w:lvlText w:val="•"/>
      <w:lvlJc w:val="left"/>
      <w:pPr>
        <w:ind w:left="144" w:hanging="324"/>
      </w:pPr>
      <w:rPr>
        <w:rFonts w:hint="default"/>
        <w:lang w:val="en-US" w:eastAsia="en-US" w:bidi="ar-SA"/>
      </w:rPr>
    </w:lvl>
    <w:lvl w:ilvl="8">
      <w:start w:val="0"/>
      <w:numFmt w:val="bullet"/>
      <w:lvlText w:val="•"/>
      <w:lvlJc w:val="left"/>
      <w:pPr>
        <w:ind w:left="-132" w:hanging="324"/>
      </w:pPr>
      <w:rPr>
        <w:rFonts w:hint="default"/>
        <w:lang w:val="en-US" w:eastAsia="en-US" w:bidi="ar-SA"/>
      </w:rPr>
    </w:lvl>
  </w:abstractNum>
  <w:abstractNum w:abstractNumId="4">
    <w:multiLevelType w:val="hybridMultilevel"/>
    <w:lvl w:ilvl="0">
      <w:start w:val="1"/>
      <w:numFmt w:val="upperLetter"/>
      <w:lvlText w:val="%1."/>
      <w:lvlJc w:val="left"/>
      <w:pPr>
        <w:ind w:left="475" w:hanging="336"/>
        <w:jc w:val="left"/>
      </w:pPr>
      <w:rPr>
        <w:rFonts w:hint="default" w:ascii="Times New Roman" w:hAnsi="Times New Roman" w:eastAsia="Times New Roman" w:cs="Times New Roman"/>
        <w:b/>
        <w:bCs/>
        <w:i w:val="0"/>
        <w:iCs w:val="0"/>
        <w:color w:val="231F20"/>
        <w:spacing w:val="-3"/>
        <w:w w:val="99"/>
        <w:sz w:val="24"/>
        <w:szCs w:val="24"/>
        <w:lang w:val="en-US" w:eastAsia="en-US" w:bidi="ar-SA"/>
      </w:rPr>
    </w:lvl>
    <w:lvl w:ilvl="1">
      <w:start w:val="0"/>
      <w:numFmt w:val="bullet"/>
      <w:lvlText w:val="•"/>
      <w:lvlJc w:val="left"/>
      <w:pPr>
        <w:ind w:left="952" w:hanging="336"/>
      </w:pPr>
      <w:rPr>
        <w:rFonts w:hint="default"/>
        <w:lang w:val="en-US" w:eastAsia="en-US" w:bidi="ar-SA"/>
      </w:rPr>
    </w:lvl>
    <w:lvl w:ilvl="2">
      <w:start w:val="0"/>
      <w:numFmt w:val="bullet"/>
      <w:lvlText w:val="•"/>
      <w:lvlJc w:val="left"/>
      <w:pPr>
        <w:ind w:left="1424" w:hanging="336"/>
      </w:pPr>
      <w:rPr>
        <w:rFonts w:hint="default"/>
        <w:lang w:val="en-US" w:eastAsia="en-US" w:bidi="ar-SA"/>
      </w:rPr>
    </w:lvl>
    <w:lvl w:ilvl="3">
      <w:start w:val="0"/>
      <w:numFmt w:val="bullet"/>
      <w:lvlText w:val="•"/>
      <w:lvlJc w:val="left"/>
      <w:pPr>
        <w:ind w:left="1896" w:hanging="336"/>
      </w:pPr>
      <w:rPr>
        <w:rFonts w:hint="default"/>
        <w:lang w:val="en-US" w:eastAsia="en-US" w:bidi="ar-SA"/>
      </w:rPr>
    </w:lvl>
    <w:lvl w:ilvl="4">
      <w:start w:val="0"/>
      <w:numFmt w:val="bullet"/>
      <w:lvlText w:val="•"/>
      <w:lvlJc w:val="left"/>
      <w:pPr>
        <w:ind w:left="2368" w:hanging="336"/>
      </w:pPr>
      <w:rPr>
        <w:rFonts w:hint="default"/>
        <w:lang w:val="en-US" w:eastAsia="en-US" w:bidi="ar-SA"/>
      </w:rPr>
    </w:lvl>
    <w:lvl w:ilvl="5">
      <w:start w:val="0"/>
      <w:numFmt w:val="bullet"/>
      <w:lvlText w:val="•"/>
      <w:lvlJc w:val="left"/>
      <w:pPr>
        <w:ind w:left="2840" w:hanging="336"/>
      </w:pPr>
      <w:rPr>
        <w:rFonts w:hint="default"/>
        <w:lang w:val="en-US" w:eastAsia="en-US" w:bidi="ar-SA"/>
      </w:rPr>
    </w:lvl>
    <w:lvl w:ilvl="6">
      <w:start w:val="0"/>
      <w:numFmt w:val="bullet"/>
      <w:lvlText w:val="•"/>
      <w:lvlJc w:val="left"/>
      <w:pPr>
        <w:ind w:left="3312" w:hanging="336"/>
      </w:pPr>
      <w:rPr>
        <w:rFonts w:hint="default"/>
        <w:lang w:val="en-US" w:eastAsia="en-US" w:bidi="ar-SA"/>
      </w:rPr>
    </w:lvl>
    <w:lvl w:ilvl="7">
      <w:start w:val="0"/>
      <w:numFmt w:val="bullet"/>
      <w:lvlText w:val="•"/>
      <w:lvlJc w:val="left"/>
      <w:pPr>
        <w:ind w:left="3784" w:hanging="336"/>
      </w:pPr>
      <w:rPr>
        <w:rFonts w:hint="default"/>
        <w:lang w:val="en-US" w:eastAsia="en-US" w:bidi="ar-SA"/>
      </w:rPr>
    </w:lvl>
    <w:lvl w:ilvl="8">
      <w:start w:val="0"/>
      <w:numFmt w:val="bullet"/>
      <w:lvlText w:val="•"/>
      <w:lvlJc w:val="left"/>
      <w:pPr>
        <w:ind w:left="4256" w:hanging="336"/>
      </w:pPr>
      <w:rPr>
        <w:rFonts w:hint="default"/>
        <w:lang w:val="en-US" w:eastAsia="en-US" w:bidi="ar-SA"/>
      </w:rPr>
    </w:lvl>
  </w:abstractNum>
  <w:abstractNum w:abstractNumId="3">
    <w:multiLevelType w:val="hybridMultilevel"/>
    <w:lvl w:ilvl="0">
      <w:start w:val="1"/>
      <w:numFmt w:val="upperLetter"/>
      <w:lvlText w:val="%1."/>
      <w:lvlJc w:val="left"/>
      <w:pPr>
        <w:ind w:left="475" w:hanging="327"/>
        <w:jc w:val="left"/>
      </w:pPr>
      <w:rPr>
        <w:rFonts w:hint="default" w:ascii="Times New Roman" w:hAnsi="Times New Roman" w:eastAsia="Times New Roman" w:cs="Times New Roman"/>
        <w:b/>
        <w:bCs/>
        <w:i w:val="0"/>
        <w:iCs w:val="0"/>
        <w:color w:val="231F20"/>
        <w:spacing w:val="-1"/>
        <w:w w:val="99"/>
        <w:sz w:val="24"/>
        <w:szCs w:val="24"/>
        <w:lang w:val="en-US" w:eastAsia="en-US" w:bidi="ar-SA"/>
      </w:rPr>
    </w:lvl>
    <w:lvl w:ilvl="1">
      <w:start w:val="0"/>
      <w:numFmt w:val="bullet"/>
      <w:lvlText w:val="•"/>
      <w:lvlJc w:val="left"/>
      <w:pPr>
        <w:ind w:left="1007" w:hanging="327"/>
      </w:pPr>
      <w:rPr>
        <w:rFonts w:hint="default"/>
        <w:lang w:val="en-US" w:eastAsia="en-US" w:bidi="ar-SA"/>
      </w:rPr>
    </w:lvl>
    <w:lvl w:ilvl="2">
      <w:start w:val="0"/>
      <w:numFmt w:val="bullet"/>
      <w:lvlText w:val="•"/>
      <w:lvlJc w:val="left"/>
      <w:pPr>
        <w:ind w:left="1535" w:hanging="327"/>
      </w:pPr>
      <w:rPr>
        <w:rFonts w:hint="default"/>
        <w:lang w:val="en-US" w:eastAsia="en-US" w:bidi="ar-SA"/>
      </w:rPr>
    </w:lvl>
    <w:lvl w:ilvl="3">
      <w:start w:val="0"/>
      <w:numFmt w:val="bullet"/>
      <w:lvlText w:val="•"/>
      <w:lvlJc w:val="left"/>
      <w:pPr>
        <w:ind w:left="2063" w:hanging="327"/>
      </w:pPr>
      <w:rPr>
        <w:rFonts w:hint="default"/>
        <w:lang w:val="en-US" w:eastAsia="en-US" w:bidi="ar-SA"/>
      </w:rPr>
    </w:lvl>
    <w:lvl w:ilvl="4">
      <w:start w:val="0"/>
      <w:numFmt w:val="bullet"/>
      <w:lvlText w:val="•"/>
      <w:lvlJc w:val="left"/>
      <w:pPr>
        <w:ind w:left="2591" w:hanging="327"/>
      </w:pPr>
      <w:rPr>
        <w:rFonts w:hint="default"/>
        <w:lang w:val="en-US" w:eastAsia="en-US" w:bidi="ar-SA"/>
      </w:rPr>
    </w:lvl>
    <w:lvl w:ilvl="5">
      <w:start w:val="0"/>
      <w:numFmt w:val="bullet"/>
      <w:lvlText w:val="•"/>
      <w:lvlJc w:val="left"/>
      <w:pPr>
        <w:ind w:left="3118" w:hanging="327"/>
      </w:pPr>
      <w:rPr>
        <w:rFonts w:hint="default"/>
        <w:lang w:val="en-US" w:eastAsia="en-US" w:bidi="ar-SA"/>
      </w:rPr>
    </w:lvl>
    <w:lvl w:ilvl="6">
      <w:start w:val="0"/>
      <w:numFmt w:val="bullet"/>
      <w:lvlText w:val="•"/>
      <w:lvlJc w:val="left"/>
      <w:pPr>
        <w:ind w:left="3646" w:hanging="327"/>
      </w:pPr>
      <w:rPr>
        <w:rFonts w:hint="default"/>
        <w:lang w:val="en-US" w:eastAsia="en-US" w:bidi="ar-SA"/>
      </w:rPr>
    </w:lvl>
    <w:lvl w:ilvl="7">
      <w:start w:val="0"/>
      <w:numFmt w:val="bullet"/>
      <w:lvlText w:val="•"/>
      <w:lvlJc w:val="left"/>
      <w:pPr>
        <w:ind w:left="4174" w:hanging="327"/>
      </w:pPr>
      <w:rPr>
        <w:rFonts w:hint="default"/>
        <w:lang w:val="en-US" w:eastAsia="en-US" w:bidi="ar-SA"/>
      </w:rPr>
    </w:lvl>
    <w:lvl w:ilvl="8">
      <w:start w:val="0"/>
      <w:numFmt w:val="bullet"/>
      <w:lvlText w:val="•"/>
      <w:lvlJc w:val="left"/>
      <w:pPr>
        <w:ind w:left="4702" w:hanging="327"/>
      </w:pPr>
      <w:rPr>
        <w:rFonts w:hint="default"/>
        <w:lang w:val="en-US" w:eastAsia="en-US" w:bidi="ar-SA"/>
      </w:rPr>
    </w:lvl>
  </w:abstractNum>
  <w:abstractNum w:abstractNumId="2">
    <w:multiLevelType w:val="hybridMultilevel"/>
    <w:lvl w:ilvl="0">
      <w:start w:val="1"/>
      <w:numFmt w:val="decimal"/>
      <w:lvlText w:val="%1)"/>
      <w:lvlJc w:val="left"/>
      <w:pPr>
        <w:ind w:left="734" w:hanging="260"/>
        <w:jc w:val="left"/>
      </w:pPr>
      <w:rPr>
        <w:rFonts w:hint="default" w:ascii="Times New Roman" w:hAnsi="Times New Roman" w:eastAsia="Times New Roman" w:cs="Times New Roman"/>
        <w:b w:val="0"/>
        <w:bCs w:val="0"/>
        <w:i w:val="0"/>
        <w:iCs w:val="0"/>
        <w:color w:val="231F20"/>
        <w:w w:val="100"/>
        <w:sz w:val="24"/>
        <w:szCs w:val="24"/>
        <w:lang w:val="en-US" w:eastAsia="en-US" w:bidi="ar-SA"/>
      </w:rPr>
    </w:lvl>
    <w:lvl w:ilvl="1">
      <w:start w:val="1"/>
      <w:numFmt w:val="upperLetter"/>
      <w:lvlText w:val="%2."/>
      <w:lvlJc w:val="left"/>
      <w:pPr>
        <w:ind w:left="566" w:hanging="452"/>
        <w:jc w:val="right"/>
      </w:pPr>
      <w:rPr>
        <w:rFonts w:hint="default" w:ascii="Times New Roman" w:hAnsi="Times New Roman" w:eastAsia="Times New Roman" w:cs="Times New Roman"/>
        <w:b/>
        <w:bCs/>
        <w:i w:val="0"/>
        <w:iCs w:val="0"/>
        <w:color w:val="231F20"/>
        <w:spacing w:val="-1"/>
        <w:w w:val="99"/>
        <w:sz w:val="24"/>
        <w:szCs w:val="24"/>
        <w:lang w:val="en-US" w:eastAsia="en-US" w:bidi="ar-SA"/>
      </w:rPr>
    </w:lvl>
    <w:lvl w:ilvl="2">
      <w:start w:val="1"/>
      <w:numFmt w:val="decimal"/>
      <w:lvlText w:val="(%3)"/>
      <w:lvlJc w:val="left"/>
      <w:pPr>
        <w:ind w:left="475" w:hanging="372"/>
        <w:jc w:val="left"/>
      </w:pPr>
      <w:rPr>
        <w:rFonts w:hint="default"/>
        <w:spacing w:val="-1"/>
        <w:w w:val="99"/>
        <w:lang w:val="en-US" w:eastAsia="en-US" w:bidi="ar-SA"/>
      </w:rPr>
    </w:lvl>
    <w:lvl w:ilvl="3">
      <w:start w:val="0"/>
      <w:numFmt w:val="bullet"/>
      <w:lvlText w:val="•"/>
      <w:lvlJc w:val="left"/>
      <w:pPr>
        <w:ind w:left="562" w:hanging="372"/>
      </w:pPr>
      <w:rPr>
        <w:rFonts w:hint="default"/>
        <w:lang w:val="en-US" w:eastAsia="en-US" w:bidi="ar-SA"/>
      </w:rPr>
    </w:lvl>
    <w:lvl w:ilvl="4">
      <w:start w:val="0"/>
      <w:numFmt w:val="bullet"/>
      <w:lvlText w:val="•"/>
      <w:lvlJc w:val="left"/>
      <w:pPr>
        <w:ind w:left="384" w:hanging="372"/>
      </w:pPr>
      <w:rPr>
        <w:rFonts w:hint="default"/>
        <w:lang w:val="en-US" w:eastAsia="en-US" w:bidi="ar-SA"/>
      </w:rPr>
    </w:lvl>
    <w:lvl w:ilvl="5">
      <w:start w:val="0"/>
      <w:numFmt w:val="bullet"/>
      <w:lvlText w:val="•"/>
      <w:lvlJc w:val="left"/>
      <w:pPr>
        <w:ind w:left="207" w:hanging="372"/>
      </w:pPr>
      <w:rPr>
        <w:rFonts w:hint="default"/>
        <w:lang w:val="en-US" w:eastAsia="en-US" w:bidi="ar-SA"/>
      </w:rPr>
    </w:lvl>
    <w:lvl w:ilvl="6">
      <w:start w:val="0"/>
      <w:numFmt w:val="bullet"/>
      <w:lvlText w:val="•"/>
      <w:lvlJc w:val="left"/>
      <w:pPr>
        <w:ind w:left="29" w:hanging="372"/>
      </w:pPr>
      <w:rPr>
        <w:rFonts w:hint="default"/>
        <w:lang w:val="en-US" w:eastAsia="en-US" w:bidi="ar-SA"/>
      </w:rPr>
    </w:lvl>
    <w:lvl w:ilvl="7">
      <w:start w:val="0"/>
      <w:numFmt w:val="bullet"/>
      <w:lvlText w:val="•"/>
      <w:lvlJc w:val="left"/>
      <w:pPr>
        <w:ind w:left="-148" w:hanging="372"/>
      </w:pPr>
      <w:rPr>
        <w:rFonts w:hint="default"/>
        <w:lang w:val="en-US" w:eastAsia="en-US" w:bidi="ar-SA"/>
      </w:rPr>
    </w:lvl>
    <w:lvl w:ilvl="8">
      <w:start w:val="0"/>
      <w:numFmt w:val="bullet"/>
      <w:lvlText w:val="•"/>
      <w:lvlJc w:val="left"/>
      <w:pPr>
        <w:ind w:left="-326" w:hanging="372"/>
      </w:pPr>
      <w:rPr>
        <w:rFonts w:hint="default"/>
        <w:lang w:val="en-US" w:eastAsia="en-US" w:bidi="ar-SA"/>
      </w:rPr>
    </w:lvl>
  </w:abstractNum>
  <w:abstractNum w:abstractNumId="1">
    <w:multiLevelType w:val="hybridMultilevel"/>
    <w:lvl w:ilvl="0">
      <w:start w:val="1"/>
      <w:numFmt w:val="upperRoman"/>
      <w:lvlText w:val="%1."/>
      <w:lvlJc w:val="left"/>
      <w:pPr>
        <w:ind w:left="4776" w:hanging="502"/>
        <w:jc w:val="right"/>
      </w:pPr>
      <w:rPr>
        <w:rFonts w:hint="default"/>
        <w:spacing w:val="-1"/>
        <w:w w:val="99"/>
        <w:lang w:val="en-US" w:eastAsia="en-US" w:bidi="ar-SA"/>
      </w:rPr>
    </w:lvl>
    <w:lvl w:ilvl="1">
      <w:start w:val="0"/>
      <w:numFmt w:val="bullet"/>
      <w:lvlText w:val="•"/>
      <w:lvlJc w:val="left"/>
      <w:pPr>
        <w:ind w:left="5466" w:hanging="502"/>
      </w:pPr>
      <w:rPr>
        <w:rFonts w:hint="default"/>
        <w:lang w:val="en-US" w:eastAsia="en-US" w:bidi="ar-SA"/>
      </w:rPr>
    </w:lvl>
    <w:lvl w:ilvl="2">
      <w:start w:val="0"/>
      <w:numFmt w:val="bullet"/>
      <w:lvlText w:val="•"/>
      <w:lvlJc w:val="left"/>
      <w:pPr>
        <w:ind w:left="6152" w:hanging="502"/>
      </w:pPr>
      <w:rPr>
        <w:rFonts w:hint="default"/>
        <w:lang w:val="en-US" w:eastAsia="en-US" w:bidi="ar-SA"/>
      </w:rPr>
    </w:lvl>
    <w:lvl w:ilvl="3">
      <w:start w:val="0"/>
      <w:numFmt w:val="bullet"/>
      <w:lvlText w:val="•"/>
      <w:lvlJc w:val="left"/>
      <w:pPr>
        <w:ind w:left="6838" w:hanging="502"/>
      </w:pPr>
      <w:rPr>
        <w:rFonts w:hint="default"/>
        <w:lang w:val="en-US" w:eastAsia="en-US" w:bidi="ar-SA"/>
      </w:rPr>
    </w:lvl>
    <w:lvl w:ilvl="4">
      <w:start w:val="0"/>
      <w:numFmt w:val="bullet"/>
      <w:lvlText w:val="•"/>
      <w:lvlJc w:val="left"/>
      <w:pPr>
        <w:ind w:left="7524" w:hanging="502"/>
      </w:pPr>
      <w:rPr>
        <w:rFonts w:hint="default"/>
        <w:lang w:val="en-US" w:eastAsia="en-US" w:bidi="ar-SA"/>
      </w:rPr>
    </w:lvl>
    <w:lvl w:ilvl="5">
      <w:start w:val="0"/>
      <w:numFmt w:val="bullet"/>
      <w:lvlText w:val="•"/>
      <w:lvlJc w:val="left"/>
      <w:pPr>
        <w:ind w:left="8210" w:hanging="502"/>
      </w:pPr>
      <w:rPr>
        <w:rFonts w:hint="default"/>
        <w:lang w:val="en-US" w:eastAsia="en-US" w:bidi="ar-SA"/>
      </w:rPr>
    </w:lvl>
    <w:lvl w:ilvl="6">
      <w:start w:val="0"/>
      <w:numFmt w:val="bullet"/>
      <w:lvlText w:val="•"/>
      <w:lvlJc w:val="left"/>
      <w:pPr>
        <w:ind w:left="8896" w:hanging="502"/>
      </w:pPr>
      <w:rPr>
        <w:rFonts w:hint="default"/>
        <w:lang w:val="en-US" w:eastAsia="en-US" w:bidi="ar-SA"/>
      </w:rPr>
    </w:lvl>
    <w:lvl w:ilvl="7">
      <w:start w:val="0"/>
      <w:numFmt w:val="bullet"/>
      <w:lvlText w:val="•"/>
      <w:lvlJc w:val="left"/>
      <w:pPr>
        <w:ind w:left="9582" w:hanging="502"/>
      </w:pPr>
      <w:rPr>
        <w:rFonts w:hint="default"/>
        <w:lang w:val="en-US" w:eastAsia="en-US" w:bidi="ar-SA"/>
      </w:rPr>
    </w:lvl>
    <w:lvl w:ilvl="8">
      <w:start w:val="0"/>
      <w:numFmt w:val="bullet"/>
      <w:lvlText w:val="•"/>
      <w:lvlJc w:val="left"/>
      <w:pPr>
        <w:ind w:left="10268" w:hanging="502"/>
      </w:pPr>
      <w:rPr>
        <w:rFonts w:hint="default"/>
        <w:lang w:val="en-US" w:eastAsia="en-US" w:bidi="ar-SA"/>
      </w:rPr>
    </w:lvl>
  </w:abstractNum>
  <w:abstractNum w:abstractNumId="0">
    <w:multiLevelType w:val="hybridMultilevel"/>
    <w:lvl w:ilvl="0">
      <w:start w:val="1"/>
      <w:numFmt w:val="upperRoman"/>
      <w:lvlText w:val="%1."/>
      <w:lvlJc w:val="left"/>
      <w:pPr>
        <w:ind w:left="1195" w:hanging="641"/>
        <w:jc w:val="left"/>
      </w:pPr>
      <w:rPr>
        <w:rFonts w:hint="default" w:ascii="Times New Roman" w:hAnsi="Times New Roman" w:eastAsia="Times New Roman" w:cs="Times New Roman"/>
        <w:b/>
        <w:bCs/>
        <w:i w:val="0"/>
        <w:iCs w:val="0"/>
        <w:color w:val="231F20"/>
        <w:w w:val="99"/>
        <w:sz w:val="24"/>
        <w:szCs w:val="24"/>
        <w:lang w:val="en-US" w:eastAsia="en-US" w:bidi="ar-SA"/>
      </w:rPr>
    </w:lvl>
    <w:lvl w:ilvl="1">
      <w:start w:val="1"/>
      <w:numFmt w:val="upperLetter"/>
      <w:lvlText w:val="%2."/>
      <w:lvlJc w:val="left"/>
      <w:pPr>
        <w:ind w:left="1488" w:hanging="293"/>
        <w:jc w:val="left"/>
      </w:pPr>
      <w:rPr>
        <w:rFonts w:hint="default" w:ascii="Times New Roman" w:hAnsi="Times New Roman" w:eastAsia="Times New Roman" w:cs="Times New Roman"/>
        <w:b/>
        <w:bCs/>
        <w:i w:val="0"/>
        <w:iCs w:val="0"/>
        <w:color w:val="231F20"/>
        <w:spacing w:val="-1"/>
        <w:w w:val="99"/>
        <w:sz w:val="24"/>
        <w:szCs w:val="24"/>
        <w:lang w:val="en-US" w:eastAsia="en-US" w:bidi="ar-SA"/>
      </w:rPr>
    </w:lvl>
    <w:lvl w:ilvl="2">
      <w:start w:val="1"/>
      <w:numFmt w:val="decimal"/>
      <w:lvlText w:val="%3."/>
      <w:lvlJc w:val="left"/>
      <w:pPr>
        <w:ind w:left="2155" w:hanging="240"/>
        <w:jc w:val="left"/>
      </w:pPr>
      <w:rPr>
        <w:rFonts w:hint="default"/>
        <w:w w:val="100"/>
        <w:lang w:val="en-US" w:eastAsia="en-US" w:bidi="ar-SA"/>
      </w:rPr>
    </w:lvl>
    <w:lvl w:ilvl="3">
      <w:start w:val="0"/>
      <w:numFmt w:val="bullet"/>
      <w:lvlText w:val="•"/>
      <w:lvlJc w:val="left"/>
      <w:pPr>
        <w:ind w:left="3345" w:hanging="240"/>
      </w:pPr>
      <w:rPr>
        <w:rFonts w:hint="default"/>
        <w:lang w:val="en-US" w:eastAsia="en-US" w:bidi="ar-SA"/>
      </w:rPr>
    </w:lvl>
    <w:lvl w:ilvl="4">
      <w:start w:val="0"/>
      <w:numFmt w:val="bullet"/>
      <w:lvlText w:val="•"/>
      <w:lvlJc w:val="left"/>
      <w:pPr>
        <w:ind w:left="4530" w:hanging="240"/>
      </w:pPr>
      <w:rPr>
        <w:rFonts w:hint="default"/>
        <w:lang w:val="en-US" w:eastAsia="en-US" w:bidi="ar-SA"/>
      </w:rPr>
    </w:lvl>
    <w:lvl w:ilvl="5">
      <w:start w:val="0"/>
      <w:numFmt w:val="bullet"/>
      <w:lvlText w:val="•"/>
      <w:lvlJc w:val="left"/>
      <w:pPr>
        <w:ind w:left="5715" w:hanging="240"/>
      </w:pPr>
      <w:rPr>
        <w:rFonts w:hint="default"/>
        <w:lang w:val="en-US" w:eastAsia="en-US" w:bidi="ar-SA"/>
      </w:rPr>
    </w:lvl>
    <w:lvl w:ilvl="6">
      <w:start w:val="0"/>
      <w:numFmt w:val="bullet"/>
      <w:lvlText w:val="•"/>
      <w:lvlJc w:val="left"/>
      <w:pPr>
        <w:ind w:left="6900" w:hanging="240"/>
      </w:pPr>
      <w:rPr>
        <w:rFonts w:hint="default"/>
        <w:lang w:val="en-US" w:eastAsia="en-US" w:bidi="ar-SA"/>
      </w:rPr>
    </w:lvl>
    <w:lvl w:ilvl="7">
      <w:start w:val="0"/>
      <w:numFmt w:val="bullet"/>
      <w:lvlText w:val="•"/>
      <w:lvlJc w:val="left"/>
      <w:pPr>
        <w:ind w:left="8085" w:hanging="240"/>
      </w:pPr>
      <w:rPr>
        <w:rFonts w:hint="default"/>
        <w:lang w:val="en-US" w:eastAsia="en-US" w:bidi="ar-SA"/>
      </w:rPr>
    </w:lvl>
    <w:lvl w:ilvl="8">
      <w:start w:val="0"/>
      <w:numFmt w:val="bullet"/>
      <w:lvlText w:val="•"/>
      <w:lvlJc w:val="left"/>
      <w:pPr>
        <w:ind w:left="9270" w:hanging="240"/>
      </w:pPr>
      <w:rPr>
        <w:rFonts w:hint="default"/>
        <w:lang w:val="en-US" w:eastAsia="en-US" w:bidi="ar-SA"/>
      </w:rPr>
    </w:lvl>
  </w:abstractNum>
  <w:num w:numId="11">
    <w:abstractNumId w:val="10"/>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1195" w:hanging="642"/>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ind w:left="1488" w:hanging="293"/>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ind w:left="2155" w:hanging="241"/>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5"/>
      <w:ind w:left="451" w:hanging="3531"/>
      <w:outlineLvl w:val="1"/>
    </w:pPr>
    <w:rPr>
      <w:rFonts w:ascii="Times New Roman" w:hAnsi="Times New Roman" w:eastAsia="Times New Roman" w:cs="Times New Roman"/>
      <w:sz w:val="60"/>
      <w:szCs w:val="60"/>
      <w:lang w:val="en-US" w:eastAsia="en-US" w:bidi="ar-SA"/>
    </w:rPr>
  </w:style>
  <w:style w:styleId="Heading2" w:type="paragraph">
    <w:name w:val="Heading 2"/>
    <w:basedOn w:val="Normal"/>
    <w:uiPriority w:val="1"/>
    <w:qFormat/>
    <w:pPr>
      <w:ind w:left="806" w:hanging="342"/>
      <w:outlineLvl w:val="2"/>
    </w:pPr>
    <w:rPr>
      <w:rFonts w:ascii="Times New Roman" w:hAnsi="Times New Roman" w:eastAsia="Times New Roman" w:cs="Times New Roman"/>
      <w:b/>
      <w:bCs/>
      <w:sz w:val="28"/>
      <w:szCs w:val="28"/>
      <w:lang w:val="en-US" w:eastAsia="en-US" w:bidi="ar-SA"/>
    </w:rPr>
  </w:style>
  <w:style w:styleId="Title" w:type="paragraph">
    <w:name w:val="Title"/>
    <w:basedOn w:val="Normal"/>
    <w:uiPriority w:val="1"/>
    <w:qFormat/>
    <w:pPr>
      <w:spacing w:before="267"/>
      <w:ind w:left="1228" w:right="58"/>
      <w:jc w:val="center"/>
    </w:pPr>
    <w:rPr>
      <w:rFonts w:ascii="Franklin Gothic Demi" w:hAnsi="Franklin Gothic Demi" w:eastAsia="Franklin Gothic Demi" w:cs="Franklin Gothic Demi"/>
      <w:b/>
      <w:bCs/>
      <w:sz w:val="96"/>
      <w:szCs w:val="96"/>
      <w:lang w:val="en-US" w:eastAsia="en-US" w:bidi="ar-SA"/>
    </w:rPr>
  </w:style>
  <w:style w:styleId="ListParagraph" w:type="paragraph">
    <w:name w:val="List Paragraph"/>
    <w:basedOn w:val="Normal"/>
    <w:uiPriority w:val="1"/>
    <w:qFormat/>
    <w:pPr>
      <w:ind w:left="475" w:hanging="24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http://www.nmag.gov/" TargetMode="External"/><Relationship Id="rId17" Type="http://schemas.openxmlformats.org/officeDocument/2006/relationships/hyperlink" Target="http://www/" TargetMode="External"/><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2023-05-17T20:22:15Z</dcterms:created>
  <dcterms:modified xsi:type="dcterms:W3CDTF">2023-05-17T20:22:15Z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Adobe Acrobat Pro 10.1.16</vt:lpwstr>
  </property>
  <property fmtid="{D5CDD505-2E9C-101B-9397-08002B2CF9AE}" pid="4" name="LastSaved">
    <vt:filetime>2023-05-17T00:00:00Z</vt:filetime>
  </property>
  <property fmtid="{D5CDD505-2E9C-101B-9397-08002B2CF9AE}" pid="5" name="Producer">
    <vt:lpwstr>Adobe Acrobat Pro 10.1.16</vt:lpwstr>
  </property>
</Properties>
</file>