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_________Aztec_______________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budget for the fiscal year of 2014-2015 is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*Check register not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specific employee information is not available, the website does provide a pay table for city workers.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*Copies of contracts are not provided, only copies of bids.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no grants are mentioned specifically, the city does provide links to other organizations that may provide individuals with information on obtaining grants.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is not found in the campaign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*Videotaped meetings are not mentioned.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resolution for the OMA is from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provides an organizational chart which facilitates in identifying department heads.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itself does not provide a clear statement of a right to access records, but instead link to the attorney general’s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the information to obtain public records is provided, no suggestions on how to minimize costs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*Through the archive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information provided by neighborhood is dated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____48_________________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 box has been added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