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_______Colfax County_________________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*Expected fund transfers are provided, but only for the budget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*Tax revenue is provided, but not tax rates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tl w:val="0"/>
        </w:rPr>
        <w:t xml:space="preserve">*A link for purchasing or a procurement department is not provided. Lack of a search bar made it difficult to thoroughly search.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498" w:hanging="360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only right that is mentioned is the public’s right to attend meetings.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*Agendas are not provided online.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*Minutes are not provided on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OMA policy resolution provided is only for the year 2014.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are no suggestions made on how to minimize costs and or on the procedures of obtaining public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*Zoning ordinances are provided, but no maps.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