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_____Eddy County___________________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[5]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038" w:firstLine="0"/>
        <w:rPr>
          <w:strike w:val="1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strike w:val="1"/>
          <w:sz w:val="22"/>
          <w:szCs w:val="22"/>
          <w:rtl w:val="0"/>
        </w:rPr>
        <w:t xml:space="preserve">The last budget analysis report is from 2009.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no information regarding checks used in the purchasing, budgeting and finance, or city manager department.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(1)[0]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*This information is not provided in the bureau of elections section of the website.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a statement of an individual’s right to speak to a meeting, but if a citizen does not attempt to get on the agenda, their ability to speak is curtailed by exemptions found in the OMA resolution.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tapes being taken during meetings is found.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last available minutes are from December 2013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no designated person for public records that is specified by the website, but the county clerk does keep a records fee on their website. However, there is no information about IPRA.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sheriff’s office does provide a form for accessing public records, which are in the context of police records. There is no such information available for other records regarding the county.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________51_____________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