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________Luna County________________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*Budgets provided as far back as 2010.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procurement and budget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9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*Other than budget information, no other financial information is provided through the budget-procurement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provides a salary schedule, but it does not attach salary to any specific employee.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other than open bids is not provided in the budget-procurement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grant/audit compliance monitor webpage does not work. No other grant information is provided on the other search items returned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*Disclosure of financial contributions is required.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right is not mentioned, but rather an expectation of civility.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calendar feature of the website does not provide a schedule of meetings. It is empty.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 but recordings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agendas are provided as links on the website, but the links are broken and redirect users back to the home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*Same issue as the one that is above.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minutes have been posted since August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67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A 5 month gap exists in the minutes in the 2014 year.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 in the public records release.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1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that is found regarding public records is a single page that states that the records collected by the county clerk’s officer are considered public records and available to the public.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_______33______________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