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_____Socorro County___________________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The most recent audit is from FY 2013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*Contact info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*Videos are currently under construction.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information is provided on how to reduce costs.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*Zoning map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______55_______________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