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_________Taos_______________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most current audit is for the year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*Contact information for the Grants Administrator is provided, but no specific information involving grants are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2038" w:firstLine="0"/>
        <w:rPr/>
      </w:pPr>
      <w:r w:rsidDel="00000000" w:rsidR="00000000" w:rsidRPr="00000000">
        <w:rPr>
          <w:rtl w:val="0"/>
        </w:rPr>
        <w:t xml:space="preserve">*An individual’s right to speak at a meeting is not provided.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*Meetings are broadcasted through a local channel, but actual video of public meetings are not provided on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found in the public meetings portion nor in the city ordinances.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list is comprehensive and easily accessible.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*State statute is cited.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trike w:val="1"/>
          <w:sz w:val="22"/>
          <w:szCs w:val="22"/>
          <w:rtl w:val="0"/>
        </w:rPr>
        <w:t xml:space="preserve">No information is provided for reducing the costs associated with public records.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2038" w:firstLine="0"/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information sheet mentions the availability of records in different formats, but those formats are not specified.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*Provided through a document search database.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*Zoning regulations are provided through the town ordinances, but no zoning maps are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______45_______________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